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Times New Roman" w:hAnsi="Times New Roman" w:eastAsia="黑体"/>
          <w:b/>
          <w:i w:val="0"/>
          <w:color w:val="1A1A1A"/>
          <w:sz w:val="40"/>
        </w:rPr>
        <w:t>发酵与益生菌方向的食品 MAG 资源盘点</w:t>
      </w:r>
    </w:p>
    <w:p>
      <w:pPr>
        <w:spacing w:after="8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4"/>
        </w:rPr>
        <w:t>cFMD v1.3.2：4,125 份食品宏基因组、18,180 个 MAG、1,654 个 SGB</w:t>
      </w:r>
    </w:p>
    <w:p>
      <w:pPr>
        <w:spacing w:before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9"/>
        </w:rPr>
        <w:t>数据：curatedFoodMetagenomicData v1.3.2（GitHub SegataLab/cFMD，2026-06-18）</w:t>
        <w:br/>
        <w:t>分析日期：2026 年 10 月</w:t>
      </w:r>
    </w:p>
    <w:p>
      <w:pPr>
        <w:pBdr>
          <w:bottom w:val="single" w:sz="8" w:space="1" w:color="2E5E8E"/>
        </w:pBdr>
        <w:spacing w:before="200" w:after="280"/>
      </w:pPr>
    </w:p>
    <w:p/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目  录</w:t>
      </w:r>
    </w:p>
    <w:p>
      <w:pPr>
        <w:spacing w:after="20" w:line="348" w:lineRule="auto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一、要点</w:t>
      </w:r>
    </w:p>
    <w:p>
      <w:pPr>
        <w:spacing w:after="20" w:line="348" w:lineRule="auto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二、数据与方法</w:t>
      </w:r>
    </w:p>
    <w:p>
      <w:pPr>
        <w:spacing w:after="20" w:line="348" w:lineRule="auto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三、库的整体情况</w:t>
      </w:r>
    </w:p>
    <w:p>
      <w:pPr>
        <w:spacing w:after="20" w:line="348" w:lineRule="auto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四、发酵模块</w:t>
      </w:r>
    </w:p>
    <w:p>
      <w:pPr>
        <w:spacing w:after="20" w:line="348" w:lineRule="auto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五、益生菌</w:t>
      </w:r>
    </w:p>
    <w:p>
      <w:pPr>
        <w:spacing w:after="20" w:line="348" w:lineRule="auto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六、antiSMASH 与次级代谢产物</w:t>
      </w:r>
    </w:p>
    <w:p>
      <w:pPr>
        <w:spacing w:after="20" w:line="348" w:lineRule="auto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七、下一步做什么</w:t>
      </w:r>
    </w:p>
    <w:p>
      <w:pPr>
        <w:spacing w:after="20" w:line="348" w:lineRule="auto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八、局限</w:t>
      </w:r>
    </w:p>
    <w:p>
      <w:pPr>
        <w:spacing w:after="20" w:line="348" w:lineRule="auto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附  文件清单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一、要点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cFMD 已从论文版 v1.1.0 更新到 v1.3.2（2026-06-18）。总数从 2,533 份样品、10,899 个 MAG 增至 4,125 份、18,180 个；SGB 从 1,144 增至 1,654。此前用 v1.1.0 的表做统计，与别人按最新表整理的结果对不上，差的是版本，不是口径。本文全部数字基于 v1.3.2。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发酵样品 3,293 份，占 79.8%，重建 15,446 个 MAG、1,142 个 SGB。乳制品独占 72.8% 的发酵 MAG，发酵饮料 13.9%，其余八个类别合计不到 14%。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乳酸菌相关 23 个属共 8,183 个 MAG，占发酵原核 MAG 的 56.1%。发酵与同基质非发酵样品的物种多样性差异在肉制品与果蔬上显著（Shannon 1.89 对 1.22、2.52 对 1.63），乳制品与鱼不显著。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益生菌要分四个口径看：制剂样品 42 个 MAG；名单内 28 个种、4,925 个 MAG；属级放宽的乳酸菌与双歧杆菌类群 6,385 个；另有发酵剂/QPS 相关 1,869 个、肠球菌等 292 个。对外只报前两个，第三个要注明是类群口径。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没有实际运行：本机没有 antiSMASH、HMMER、Prodigal，也没有 MAG 序列（Zenodo 上的序列集合约 272 GB，当前环境无法下载）。按 SGB 去重得到 1,142 个代表基因组，按文献报道的单基因组簇数估算，原核 1,461–4,554 个 BGC、真核 315–878 个。这是工作量估计，不是结果。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二、数据与方法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数据取自 cFMD 仓库主分支的三个总表：cFMD_metadata.tsv（4,125 行、32 列，样品级元数据）、cFMD_mags_list.tsv（18,180 行、20 列，MAG 级注释与质量）、cFMD_datasets.tsv（109 行，数据集索引）。v1.3.2 取消了顶层的 SGB 汇总表，SGB 级信息需要在 MAG 清单上自行聚合，本文的 SGB 表、类别表、属种矩阵都是这样重建的。物种谱取自 cFMD_data/&lt;dataset&gt;/ 下的 107 个 TSV，覆盖 4,067 份样品。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四条口径：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发酵与否直接取 fermented 字段（F/NF），不按类别名反推。乳制品里有 203 份非发酵样品（鲜奶 132、奶酪盐水 53、生乳 18），单独留作同基质对照。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MAG 质量按完整度 ≥90%、污染 &lt;5% 记 HQ，完整度 ≥50%、污染 &lt;5% 记 MQ。同时满足质量与 SGB 归属的 17,621 个 MAG 进入分析，占全库 96.9%。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SGB 的新颖性类型（kSGB/uSGB/ufSGB）源表按 MAG 标注，有 21 个 SGB 被标了两种；本文按 SGB 内多数MAG 的标注统一，票数相同时取 uSGB。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物种谱文件本身已是百分比，直接用于 alpha 多样性与丰度比较，不再缩放。</w:t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三、库的整体情况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4,125 份样品来自 109 个数据集、54 个国家，测序碱基合计 25.09 Tb。乳制品 2,336 份，占样品总数的 56.6%；发酵肉、发酵饮料、发酵果蔬各在 60–460 份之间；发酵鱼、发酵薯类、发酵豆类都不到 30 份。真核 MAG 979 个，其中 848 个来自发酵样品，含酒精饮料的真核占比最高（44.7%），乳制品最低（3.8%）。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 w:val="true"/>
          <w:tblHeader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项目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数值</w:t>
            </w:r>
          </w:p>
        </w:tc>
        <w:tc>
          <w:tcPr>
            <w:tcW w:type="dxa" w:w="398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样品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4,125</w:t>
            </w:r>
          </w:p>
        </w:tc>
        <w:tc>
          <w:tcPr>
            <w:tcW w:type="dxa" w:w="398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 3,293、非发酵 832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数据集 / 国家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109 / 54</w:t>
            </w:r>
          </w:p>
        </w:tc>
        <w:tc>
          <w:tcPr>
            <w:tcW w:type="dxa" w:w="398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v1.0.0 59、v1.2.1 26、v1.3.1 2、v1.3.2 22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MAG 总数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18,180</w:t>
            </w:r>
          </w:p>
        </w:tc>
        <w:tc>
          <w:tcPr>
            <w:tcW w:type="dxa" w:w="398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细菌 17,048、真核 979、古菌 17、未定 136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分析用 MAG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17,621</w:t>
            </w:r>
          </w:p>
        </w:tc>
        <w:tc>
          <w:tcPr>
            <w:tcW w:type="dxa" w:w="398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质量合格且有 SGB 编号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SGB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1,654</w:t>
            </w:r>
          </w:p>
        </w:tc>
        <w:tc>
          <w:tcPr>
            <w:tcW w:type="dxa" w:w="398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已知种 1,054、未知种 374、食品新种 226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 MAG / SGB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15,446 / 1,142</w:t>
            </w:r>
          </w:p>
        </w:tc>
        <w:tc>
          <w:tcPr>
            <w:tcW w:type="dxa" w:w="398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HQ 7,431、MQ 8,015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  数据集规模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600 个 SGB 没有参考基因组，占 36.3%，其中 226 个只在食品样品中出现。与 v1.1.0 的 290 个相比，食品新种净减 64 个。期间既有新数据集带来的新食品种，也有旧类群因参考基因组补齐转为已知种，后者占多数。这 600 个仍是该资源相对人体肠道库的主要增量。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四、发酵模块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15,446 个发酵 MAG 中，原核 14,598 个、真核 848 个，HQ 占 48.1%。分属 1,142 个 SGB：已知种 749、未知种 244、食品新种 149。十个类别之间极不平衡，表 2 是全表。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6"/>
        <w:gridCol w:w="746"/>
        <w:gridCol w:w="746"/>
        <w:gridCol w:w="746"/>
        <w:gridCol w:w="746"/>
        <w:gridCol w:w="746"/>
        <w:gridCol w:w="746"/>
        <w:gridCol w:w="746"/>
        <w:gridCol w:w="746"/>
        <w:gridCol w:w="746"/>
        <w:gridCol w:w="746"/>
        <w:gridCol w:w="746"/>
      </w:tblGrid>
      <w:tr>
        <w:trPr>
          <w:cantSplit w:val="true"/>
          <w:tblHeader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类别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样品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数据集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国家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原核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真核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kSGB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属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种</w:t>
            </w:r>
          </w:p>
        </w:tc>
      </w:tr>
      <w:tr>
        <w:trPr>
          <w:cantSplit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2336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11242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10819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423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5076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664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430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265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375</w:t>
            </w:r>
          </w:p>
        </w:tc>
      </w:tr>
      <w:tr>
        <w:trPr>
          <w:cantSplit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发酵饮料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456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2144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1904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240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1444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183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137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81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114</w:t>
            </w:r>
          </w:p>
        </w:tc>
      </w:tr>
      <w:tr>
        <w:trPr>
          <w:cantSplit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发酵肉制品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168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607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557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254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142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118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105</w:t>
            </w:r>
          </w:p>
        </w:tc>
      </w:tr>
      <w:tr>
        <w:trPr>
          <w:cantSplit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83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136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  <w:tr>
        <w:trPr>
          <w:cantSplit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含酒精发酵饮料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89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72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67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61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</w:t>
            </w:r>
          </w:p>
        </w:tc>
      </w:tr>
      <w:tr>
        <w:trPr>
          <w:cantSplit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140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58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38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</w:tr>
      <w:tr>
        <w:trPr>
          <w:cantSplit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发酵薯类与根茎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116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58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</w:t>
            </w:r>
          </w:p>
        </w:tc>
      </w:tr>
      <w:tr>
        <w:trPr>
          <w:cantSplit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发酵豆类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172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166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99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73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70</w:t>
            </w:r>
          </w:p>
        </w:tc>
      </w:tr>
      <w:tr>
        <w:trPr>
          <w:cantSplit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发酵种子/油料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65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390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360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144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122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89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72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84</w:t>
            </w:r>
          </w:p>
        </w:tc>
      </w:tr>
      <w:tr>
        <w:trPr>
          <w:cantSplit w:val="true"/>
        </w:trPr>
        <w:tc>
          <w:tcPr>
            <w:tcW w:type="dxa" w:w="182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发酵鱼制品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59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</w:t>
            </w:r>
          </w:p>
        </w:tc>
        <w:tc>
          <w:tcPr>
            <w:tcW w:type="dxa" w:w="64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5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2  各发酵类别的样品、MAG 与 SGB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乳制品 2,336 份、11,242 个 MAG，占发酵 MAG 的 72.8%，来自 48 个数据集、37 个国家。主导种是Lactococcus lactis（940 个）、Streptococcus thermophilus（802 个）、Lacticaseibacillus paracasei（716 个）、Lactococcus cremoris（490 个）、Lactobacillus delbrueckii（474 个）、L. helveticus（405 个）。优势种与商业发酵剂配方高度重合，这与 48 个数据集以欧洲奶酪专项为主有关。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发酵饮料 456 份、2,144 个 MAG，水开菲尔占 85%，其余是康普茶、米醋、咖啡发酵、Pulque 与 Pozol。菌群由三块叠加：Liquorilactobacillus（403 个）、Acetobacter（259 个）、Lacticaseibacillus（251 个）。含酒精饮料只有 48 份，真核却占 44.7%，Saccharomyces cerevisiae 在物种谱里平均占 41.0%，是全部类别中最高的。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发酵肉 168 份、607 个 MAG，优势种为 Latilactobacillus sakei（物种谱占比 36.6%）、Staphylococcus xylosus、Latilactobacillus curvatus，属典型的低温慢发酵香肠群落。发酵谷物 83 份、244 个 MAG，以酸面团为主，Lactiplantibacillus plantarum、Levilactobacillus brevis、Fructilactobacillus sanfranciscensis 三分天下。发酵种子在 v1.3.2 里扩充最快，从 13 份增至 65 份，可可豆发酵贡献主体，Acetobacter pasteurianus 在物种谱中占 27.8%，符合可可豆堆肥式发酵的醋酸菌主导特征。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长尾类别要谨慎。发酵鱼 25 份样品来自两个数据集（韩国洪鱼 5 份、中国油茶 20 份），MAG 却有 214 个，集中在 Lactiplantibacillus pentosus 与 L. plantarum，两个数据集的工艺差异远大于同类别内的重复；发酵豆类 26 份、172 个 MAG，以 Bacillus velezensis、Enterococcus faecium、Weissella confusa 为主，Bacillus 的比例明显高于其他类别，提示以细菌发酵为主的亚洲豆制品与乳酸发酵体系不同。发酵薯类、发酵果蔬各只有 24 与 62 份，只能作趋势描述。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53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类别MAG数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53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1  各发酵类别的 MAG 数量与质量构成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752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优势属热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752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2  前 22 个属在 10 个类别中的 MAG 数量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同基质对照在这一版才够用。v1.3.2 的非发酵样品增加到肉 204 份、鱼 155 份、果蔬 237 份，比 v1.1.0 分别多出 157、141、212 份，其中有物种谱、能进入多样性计算的为 197、150、231 份。结果与预期一致但幅度不同：肉制品与果蔬的 Shannon 指数在发酵后显著下降，乳制品与鱼几乎没有变化。乳制品本身多样性就低（1.13 对 1.08，P=0.79），发酵与否不改变这一格局；鱼的非发酵对照只有 150 份有物种谱且来源集中，P=0.53 不能理解为“发酵不影响”。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17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比较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非发酵 n</w:t>
            </w:r>
          </w:p>
        </w:tc>
        <w:tc>
          <w:tcPr>
            <w:tcW w:type="dxa" w:w="11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 n</w:t>
            </w:r>
          </w:p>
        </w:tc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非发酵 Shannon</w:t>
            </w:r>
          </w:p>
        </w:tc>
        <w:tc>
          <w:tcPr>
            <w:tcW w:type="dxa" w:w="17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 Shannon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P 值</w:t>
            </w:r>
          </w:p>
        </w:tc>
      </w:tr>
      <w:tr>
        <w:trPr>
          <w:cantSplit w:val="true"/>
        </w:trPr>
        <w:tc>
          <w:tcPr>
            <w:tcW w:type="dxa" w:w="17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189</w:t>
            </w:r>
          </w:p>
        </w:tc>
        <w:tc>
          <w:tcPr>
            <w:tcW w:type="dxa" w:w="11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2321</w:t>
            </w:r>
          </w:p>
        </w:tc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1.13</w:t>
            </w:r>
          </w:p>
        </w:tc>
        <w:tc>
          <w:tcPr>
            <w:tcW w:type="dxa" w:w="17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1.08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0.793</w:t>
            </w:r>
          </w:p>
        </w:tc>
      </w:tr>
      <w:tr>
        <w:trPr>
          <w:cantSplit w:val="true"/>
        </w:trPr>
        <w:tc>
          <w:tcPr>
            <w:tcW w:type="dxa" w:w="17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肉制品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197</w:t>
            </w:r>
          </w:p>
        </w:tc>
        <w:tc>
          <w:tcPr>
            <w:tcW w:type="dxa" w:w="11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162</w:t>
            </w:r>
          </w:p>
        </w:tc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1.89</w:t>
            </w:r>
          </w:p>
        </w:tc>
        <w:tc>
          <w:tcPr>
            <w:tcW w:type="dxa" w:w="17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1.22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&lt;0.0001</w:t>
            </w:r>
          </w:p>
        </w:tc>
      </w:tr>
      <w:tr>
        <w:trPr>
          <w:cantSplit w:val="true"/>
        </w:trPr>
        <w:tc>
          <w:tcPr>
            <w:tcW w:type="dxa" w:w="17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鱼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150</w:t>
            </w:r>
          </w:p>
        </w:tc>
        <w:tc>
          <w:tcPr>
            <w:tcW w:type="dxa" w:w="11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25</w:t>
            </w:r>
          </w:p>
        </w:tc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1.92</w:t>
            </w:r>
          </w:p>
        </w:tc>
        <w:tc>
          <w:tcPr>
            <w:tcW w:type="dxa" w:w="17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1.8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0.529</w:t>
            </w:r>
          </w:p>
        </w:tc>
      </w:tr>
      <w:tr>
        <w:trPr>
          <w:cantSplit w:val="true"/>
        </w:trPr>
        <w:tc>
          <w:tcPr>
            <w:tcW w:type="dxa" w:w="17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果蔬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231</w:t>
            </w:r>
          </w:p>
        </w:tc>
        <w:tc>
          <w:tcPr>
            <w:tcW w:type="dxa" w:w="11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62</w:t>
            </w:r>
          </w:p>
        </w:tc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2.52</w:t>
            </w:r>
          </w:p>
        </w:tc>
        <w:tc>
          <w:tcPr>
            <w:tcW w:type="dxa" w:w="17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1.63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&lt;0.0001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3  同基质条件下发酵与非发酵的 alpha 多样性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物种层面看得更清楚：发酵组里 Lactococcus lactis 平均 14.02%、Streptococcus thermophilus 15.75%、Lactococcus cremoris 9.69%，对应的非发酵组只有 1.43%、4.33%、0.65%；反向富集的是 Brochothrix thermosphacta（4.57%）、Pseudomonas fragi（3.74%）、P. immobilis（3.07%）等冷藏腐败菌。发酵对腐败菌的抑制在物种层面是干净的信号，可以直接用于货架期与工艺评估。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五、益生菌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“益生菌 MAG 有多少”这个问题没有单一答案，取决于把边界画在哪里。四组数字放在一起，差别一目了然。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 w:val="true"/>
          <w:tblHeader w:val="true"/>
        </w:trPr>
        <w:tc>
          <w:tcPr>
            <w:tcW w:type="dxa" w:w="447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层级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种数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</w:t>
            </w:r>
          </w:p>
        </w:tc>
        <w:tc>
          <w:tcPr>
            <w:tcW w:type="dxa" w:w="120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</w:t>
            </w:r>
          </w:p>
        </w:tc>
      </w:tr>
      <w:tr>
        <w:trPr>
          <w:cantSplit w:val="true"/>
        </w:trPr>
        <w:tc>
          <w:tcPr>
            <w:tcW w:type="dxa" w:w="447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A 核心：乳酸菌与双歧杆菌类群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133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134</w:t>
            </w:r>
          </w:p>
        </w:tc>
        <w:tc>
          <w:tcPr>
            <w:tcW w:type="dxa" w:w="120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6385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2879</w:t>
            </w:r>
          </w:p>
        </w:tc>
      </w:tr>
      <w:tr>
        <w:trPr>
          <w:cantSplit w:val="true"/>
        </w:trPr>
        <w:tc>
          <w:tcPr>
            <w:tcW w:type="dxa" w:w="447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A 严格：名单内益生菌种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28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28</w:t>
            </w:r>
          </w:p>
        </w:tc>
        <w:tc>
          <w:tcPr>
            <w:tcW w:type="dxa" w:w="120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4925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1968</w:t>
            </w:r>
          </w:p>
        </w:tc>
      </w:tr>
      <w:tr>
        <w:trPr>
          <w:cantSplit w:val="true"/>
        </w:trPr>
        <w:tc>
          <w:tcPr>
            <w:tcW w:type="dxa" w:w="447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 QPS/发酵剂相关种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76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80</w:t>
            </w:r>
          </w:p>
        </w:tc>
        <w:tc>
          <w:tcPr>
            <w:tcW w:type="dxa" w:w="120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1869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1069</w:t>
            </w:r>
          </w:p>
        </w:tc>
      </w:tr>
      <w:tr>
        <w:trPr>
          <w:cantSplit w:val="true"/>
        </w:trPr>
        <w:tc>
          <w:tcPr>
            <w:tcW w:type="dxa" w:w="447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C 需谨慎(肠球菌等)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31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32</w:t>
            </w:r>
          </w:p>
        </w:tc>
        <w:tc>
          <w:tcPr>
            <w:tcW w:type="dxa" w:w="120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292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122</w:t>
            </w:r>
          </w:p>
        </w:tc>
      </w:tr>
      <w:tr>
        <w:trPr>
          <w:cantSplit w:val="true"/>
        </w:trPr>
        <w:tc>
          <w:tcPr>
            <w:tcW w:type="dxa" w:w="447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益生菌制剂样品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21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21</w:t>
            </w:r>
          </w:p>
        </w:tc>
        <w:tc>
          <w:tcPr>
            <w:tcW w:type="dxa" w:w="120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42</w:t>
            </w:r>
          </w:p>
        </w:tc>
        <w:tc>
          <w:tcPr>
            <w:tcW w:type="dxa" w:w="109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4  益生菌相关的四个口径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制剂样品是唯一确定来自益生菌产品的部分：14 份样品（美国 10、意大利 4）、42 个 MAG、21 个 SGB。平均完整度 76.7%，HQ 只有 16 个，低于发酵食品整体的 83.5%。制剂配方里菌株种类少、辅料 DNA 占比高，组装效果本来就差一档，做下游分析建议只取 HQ 的 16 个。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名单内 28 个种共 4,925 个 MAG，HQ 1,968 个。分布高度集中：乳制品 4,124 个（83.7%）、发酵饮料 425 个、发酵谷物 105 个、发酵种子 69 个，其余六个类别合计不到 210 个。乳制品之外，名单内物种多是辅助菌，丰度低、MAG 数少，做统计时要按类别分层。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 w:val="true"/>
          <w:tblHeader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物种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主要来源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Lactococcus lactis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940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407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Streptococcus thermophilus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802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288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paracasei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716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378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Lactococcus cremoris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490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127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delbrueckii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474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helveticus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405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138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Lactiplantibacillus plantarum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232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143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Saccharomyces cerevisiae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194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102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Levilactobacillus brevis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136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Limosilactobacillus fermentum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126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rhamnosus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Propionibacterium freudenreichii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64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Lentilactobacillus kefiri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31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casei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44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Lactiplantibacillus paraplantarum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29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Bacillus subtilis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发酵种子/油料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Fructilactobacillus sanfranciscensis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longum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Limosilactobacillus mucosae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amylovorus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发酵种子/油料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acidophilus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Ligilactobacillus agilis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Limosilactobacillus reuteri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animalis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crispatus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johnsonii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gasseri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Ligilactobacillus salivarius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6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5  名单内 28 个益生菌种的 MAG 数量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属级放宽到 18 个乳杆菌相关属加双歧杆菌属，得到 133 个种、6,385 个 MAG。多出来的 105 个种不是随机噪声，而是集中在两类基质：水开菲尔与康普茶来源的 Liquorilactobacillus satsumensis（200 个）、L. nagelii（129 个）、Bifidobacterium aquikefiri（73 个），以及奶酪与发酵肉来源的 Lentilactobacillus parabuchneri（136 个）、Lactobacillus kefiranofaciens（89 个）。这些种缺益生功能评价，也不在监管名单上，但恰恰是这份资源相对商业菌株库的增量。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双歧杆菌要单独说。全库 Bifidobacterium 只有 192 个 MAG，以食品来源的 B. aquikefiri、B. psychraerophilum、B. mongoliense 为主，临床常用的 B. longum 与 B. animalis 分别只有 11 个和 2 个。双歧杆菌主要栖居肠道，食品中的数量取决于是否外源添加，用它做益生性研究样本量不够。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991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益生菌物种热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991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3  前 20 个乳酸菌与双歧杆菌种在各类别中的分布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六、antiSMASH 与次级代谢产物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先说明状态：antiSMASH 没有跑。运行它需要 MAG 序列，而序列在 Zenodo 上按数据集打包，全量约 272 GB，当前环境既连不上 Zenodo，也没有足够磁盘与内存；分析环境里没有 antiSMASH、HMMER、Prodigal 和 conda。下面给的是输入清单、按文献推算的规模，以及拿到序列后的执行方案。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输入按 SGB 去重，每个 SGB 取完整度最高、污染最低的一株，共 1,142 个代表基因组（原核 1,045、真核 97）。同一 SGB 内不同 MAG 的簇结构差异通常小于测序噪声，去重不会丢信息，能把计算量压到十分之一。清单表 09 里已标好 P1/P2 优先级：P1 为名单内益生菌种与食品新种，共 176 个，P2 为其余 869 个。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>
        <w:trPr>
          <w:cantSplit w:val="true"/>
          <w:tblHeader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属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单株下限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单株上限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合计下限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合计上限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主要簇类型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Lactococcus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102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细菌素/羊毛硫肽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细菌素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Streptococcus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34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85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blp/thermophilin 类细菌素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细菌素/RiPP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Leuconostoc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细菌素+EPS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Brevibacterium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92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铁载体/萜类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Lentilactobacillus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64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细菌素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Acetobacter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33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纤维素合成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Liquorilactobacillus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细菌素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Staphylococcus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38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铁载体/NRPS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Lactiplantibacillus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44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77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plantaricin/羊毛硫肽</w:t>
            </w:r>
          </w:p>
        </w:tc>
      </w:tr>
      <w:tr>
        <w:trPr>
          <w:cantSplit w:val="true"/>
        </w:trPr>
        <w:tc>
          <w:tcPr>
            <w:tcW w:type="dxa" w:w="23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Corynebacterium</w:t>
            </w:r>
          </w:p>
        </w:tc>
        <w:tc>
          <w:tcPr>
            <w:tcW w:type="dxa" w:w="6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85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10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214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6  主要属的 BGC 数量估算（前 12 属）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原核合计 1,461–4,554 个，真核 315–878 个。真核部分有四到六成落在 Penicillium（8 个 SGB，160–320 个）与 Scopulariopsis（3 个 SGB，30–75 个）。乳酸菌的基因组小，单株一般 2–7 个簇，但簇密度不低，且高度集中在细菌素与羊毛硫肽，这是它们能压制腐败菌的分子基础。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拿到结果后值得追三条线。一是细菌素：乳球菌的 nisin、植物乳植杆菌的 plantaricin、片球菌的 pediocin、清酒乳杆菌的 sakacin，都是已验证的 I/II 类细菌素，可直接对应发酵过程中的菌群控制能力。二是风味与质构：短杆菌的类胡萝卜素决定奶酪表面颜色，Acetobacter 与 Komagataeibacter 的纤维素合成决定红茶菌膜，Leuconostoc 的葡聚糖蔗糖酶决定黏度，这三类产物不是“次级代谢副产物”，而是工艺指标。三是安全：Penicillium roqueforti 的 roquefortine C 与 PR-toxin 簇、Aspergillus 的霉毒素簇、Staphylococcus 的毒力簇，是发酵食品风险评估的直接靶点。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执行按三步走：10_download_mags.sh 按数据集分包下载，只取清单里的代表株；11_run_antismash.sh 以 --cfinder-molarmass 和 --taxon 参数批量运行，输出 genbank 与 JSON；12_parse_antismash.py 汇总簇类型、产物预测与基因坐标。判读时把 HQ 与 MQ 分开统计：完整度 50%–70% 的基因组常缺簇的调控区或模块，会低估总数；contig 断裂还会把一个簇切成两段，造成重复计数。</w:t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七、下一步做什么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按所需数据分三档，前两档与现有资源匹配，第三档要另找数据。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只用总表就能做的四件：</w:t>
      </w:r>
    </w:p>
    <w:p>
      <w:pPr>
        <w:spacing w:after="40" w:line="336" w:lineRule="auto"/>
        <w:ind w:left="660" w:hanging="24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 xml:space="preserve">·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类群指示物种。用 indicspecies 在 10 个发酵类别上找标志种，输出每类的诊断性分类单元。发酵种子与发酵鱼的样品量在 v1.3.2 里刚够支撑这一分析，是新的切入点。</w:t>
      </w:r>
    </w:p>
    <w:p>
      <w:pPr>
        <w:spacing w:after="40" w:line="336" w:lineRule="auto"/>
        <w:ind w:left="660" w:hanging="24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 xml:space="preserve">·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跨类别共现网络。以 4,067 份样品的属水平丰度建 SparCC 网络，重点看乳酸菌—醋酸菌—酵母的三方关系，水开菲尔与可可豆发酵是两个天然的比较体系。</w:t>
      </w:r>
    </w:p>
    <w:p>
      <w:pPr>
        <w:spacing w:after="40" w:line="336" w:lineRule="auto"/>
        <w:ind w:left="660" w:hanging="24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 xml:space="preserve">·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地理与工艺的方差分解。元数据有 54 个国家，可用 PERMANOVA 拆国家、类别、工艺三个因素，回答“地域风味”在微生物层面有没有对应。意大利、西班牙、爱尔兰样本量最大，也可做国家内部比较。</w:t>
      </w:r>
    </w:p>
    <w:p>
      <w:pPr>
        <w:spacing w:after="40" w:line="336" w:lineRule="auto"/>
        <w:ind w:left="660" w:hanging="24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 xml:space="preserve">·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发酵剂与背景菌的比例。按已知发酵剂名单给每个 MAG 打标签，统计各类别中接种菌与自然发酵菌的比例，可作为工业化程度的代理指标。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需要 MAG 序列的三件（与第六章共用一次下载）：</w:t>
      </w:r>
    </w:p>
    <w:p>
      <w:pPr>
        <w:spacing w:after="40" w:line="336" w:lineRule="auto"/>
        <w:ind w:left="660" w:hanging="24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 xml:space="preserve">·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BGC 家族聚类。antiSMASH 之后用 BiG-SLiCE 把上千个 BGC 聚成家族，统计食品特有家族与类别富集，这是把描述性结果变成可比较数据的关键一步。</w:t>
      </w:r>
    </w:p>
    <w:p>
      <w:pPr>
        <w:spacing w:after="40" w:line="336" w:lineRule="auto"/>
        <w:ind w:left="660" w:hanging="24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 xml:space="preserve">·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细菌素专项。BAGEL4 与 RiPPer 交叉验证，输出候选细菌素的成熟肽序列与预测抑菌谱，再与发酵食品中的敏感菌做对接。</w:t>
      </w:r>
    </w:p>
    <w:p>
      <w:pPr>
        <w:spacing w:after="40" w:line="336" w:lineRule="auto"/>
        <w:ind w:left="660" w:hanging="24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 xml:space="preserve">· 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益生性状与耐药基因。dbCAN3 注释 CAZy，AMRFinderPlus 注释耐药基因，重点看接合质粒与转座子上的四环素、大环内酯类基因，这是监管关注点。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需要原始测序数据的两件：HUMAnN3 或 gapseq 重建功能通路，补 MAG 方法对低丰度成员的系统性遗漏；以及与人体宏基因组（cMD）配对做菌株追踪，复现原文报告的食物到肠道传播。后者的价值最高，但需要另外申请数据权限。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如果只做一件事，建议做“类别指示物种 + 名单外乳酸菌的基因组特征”这一组合：前者用现有总表两周内可出，后者只需下载这 105 个种的代表基因组（105 个 MAG，约 300 MB），能把“传统发酵食品里有哪些未被认识的益生候选”这个问题回答到菌株水平。</w:t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八、局限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类别严重不平衡。乳制品占 72.8% 的发酵 MAG，发酵薯类只有 123 个、发酵果蔬 149 个。跨类别比较只能看趋势，不能当定论。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批次效应。109 个数据集的提取方法、平台、读长各不相同，元数据虽有记录，无法完全校正。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MAG 方法本身有偏。高丰度、低复杂度的群落（接种发酵）更容易得到高质量基因组，低丰度成员被系统性低估，这会放大发酵剂菌株的表观重要性。直接用 MAG 数代表物种重要性并不可靠。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两个版本的数据不能混用。本文全部基于 v1.3.2；与他人的 v1.1.0 结果并列时必须在表头注明版本，否则样品数、MAG 数、SGB 数会出现 30%–60% 的表面差异。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部分是估算。表 6 的区间来自文献报道的单基因组簇数，不是本资源的实测值，在拿到序列前不要引用为结果。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附  文件清单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 w:val="true"/>
          <w:tblHeader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编号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文件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内容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规模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00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MAG主表_全部.csv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个 MAG 的合并注释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行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01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发酵MAG总表.csv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发酵样品全部 MAG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15,446 行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02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按发酵种类汇总.csv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 个类别的统计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 行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04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SGB水平汇总.csv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 个 SGB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 行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05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益生菌制剂来源MAG表.csv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制剂来源 42 个 MAG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 行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06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益生菌物种MAG全库表.csv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属级放宽口径 6,385 个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6,385 行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益生菌严格名单MAG表.csv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名单内 28 个种 4,925 个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4,925 行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22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益生菌分层汇总.csv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四个口径计数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 行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09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antiSMASH输入清单.csv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 个代表基因组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 行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17-19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antiSMASH 知识表与工作量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 个分类单元的产物对应与估算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 个表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10-16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物种谱与多样性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发酵/非发酵差异、alpha 多样性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 个表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发酵类型明细.csv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 个发酵类型的明细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 行</w:t>
            </w:r>
          </w:p>
        </w:tc>
      </w:tr>
      <w:tr>
        <w:trPr>
          <w:cantSplit w:val="true"/>
        </w:trPr>
        <w:tc>
          <w:tcPr>
            <w:tcW w:type="dxa" w:w="78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—</w:t>
            </w:r>
          </w:p>
        </w:tc>
        <w:tc>
          <w:tcPr>
            <w:tcW w:type="dxa" w:w="313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figures/</w:t>
            </w:r>
          </w:p>
        </w:tc>
        <w:tc>
          <w:tcPr>
            <w:tcW w:type="dxa" w:w="39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图 1–6，PNG 300 dpi</w:t>
            </w:r>
          </w:p>
        </w:tc>
        <w:tc>
          <w:tcPr>
            <w:tcW w:type="dxa" w:w="112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 个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附表  随报告交付的数据文件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逐条 MAG 编号、SGB 归属与质量指标都在 00 主表里，按 dataset_id 与 MAG_id 可以回溯到原始数据集。需要重跑时按 scripts/ 下的编号顺序执行：01 建表、02 物种谱、04–06 图表、08/09 报告。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595959"/>
        <w:sz w:val="16"/>
      </w:rPr>
      <w:t xml:space="preserve">汇报版     </w:t>
    </w:r>
    <w:r>
      <w:rPr>
        <w:rFonts w:ascii="Times New Roman" w:hAnsi="Times New Roman" w:eastAsia="宋体"/>
        <w:b w:val="0"/>
        <w:i w:val="0"/>
        <w:color w:val="59595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D9D9D9"/>
      </w:pBdr>
      <w:jc w:val="right"/>
    </w:pPr>
    <w:r>
      <w:rPr>
        <w:rFonts w:ascii="Times New Roman" w:hAnsi="Times New Roman" w:eastAsia="宋体"/>
        <w:b w:val="0"/>
        <w:i w:val="0"/>
        <w:color w:val="595959"/>
        <w:sz w:val="16"/>
      </w:rPr>
      <w:t>cFMD v1.3.2 食品微生物组 MAG 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40"/>
    </w:pPr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