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其余各项（分阶段差异分析、宏蛋白组二次去重与特有抗菌肽筛选、机制关联分析、抑菌实验验证、结果整理与论文撰写）为中期之后的工作，实施方案与所需材料已确定。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宏基因组数据处理与微生物基因组参考集构建、小开放阅读框预测与微生物源短肽库构建两项已全部完成，三模型共识预测已形成候选抗菌肽名单，构成了课题的主体分析基础；分阶段差异分析、宏蛋白组去重与特有抗菌肽筛选正在开展，机制关联分析、抑菌实验验证与论文撰写安排在后续阶段进行。</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截至本次中期检查，课题整体进度与开题报告拟定的安排基本一致：数据处理与预测环节已形成完整结果，后续分析所需的短肽库与候选名单已经具备，剩余工作的输入条件成熟，进度风险可控。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（三）分阶段差异分析与特有抗菌肽筛选（正在实施）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分阶段差异分析已进入实施：按 NC、SCS、SCD、MCI 与 AD 五个认知阶段比较候选抗菌肽的丰度与组成差异，识别可能随病程变化的候选抗菌肽。该环节与后续的二次去重衔接，分析结果将作为特有抗菌肽筛选的输入。</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宏蛋白组表达证据二次去重按计划推进：在序列去冗余的基础上，逐步引入蛋白层面的表达证据，剔除缺少表达支持的序列，再按组内共有、组间特比较，筛选健康人群特有与各疾病阶段特有的抗菌肽。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β-淀粉样肽（Aβ）、乙酰胆碱酯酶（AChE）外周阴离子位点的结合情况与复合物稳定性，并结合文献比对与功能注释分析其可能涉及的免疫与炎症通路。相关分析按方案在下一阶段实施，候选肽的序列与结构准备、参数设置与流程搭建等前期工作已完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名单为主要形式：已形成完整可重复的分析流程与技术文档；已形成候选抗菌肽名单及预测环节的统计信息；分阶段差异分析与特有抗菌肽筛选正在实施。阶段性成果中暂无以第一作者公开发表的学术论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预测结果可能存在假阳性。应对：以多模型共识判定提高候选集合的可信度，再以宏蛋白组表达证据二次去重，最后通过抑菌实验对代表性候选肽进行验证，形成层层递进的证据链。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分阶段差异分析与特有抗菌肽筛选尚在实施。应对：按既定流程推进，先完成差异比较与表达证据过滤，再冻结特有肽清单；后续机制关联分析与抑菌实验共用同一份清单，避免重复分析、控制工作量。</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研究实施阶段，针对单一模型预测容易产生假阳性的问题，指导采用多个模型独立预测、取一致阳性结果构成候选集合；对公开数据的来源与处理口径、分析流程的可复现性提出明确要求，强调区分计算预测与实验证据，并通过定期组会与阶段汇报督促研究进度。目前数据处理与预测环节已完成，分阶段差异分析与特有抗菌肽筛选正在推进，机制关联分析与抑菌实验验证已排入后续计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查阅文献、完成数据处理与建模工作，具备较好的生物信息学分析基础。中期阶段已完成全队列宏基因组数据处理、微生物源短肽库构建与多模型共识预测等主体分析工作，候选抗菌肽名单已经形成，进度与开题计划一致；对预测假阳性等问题已有明确处理办法，后续工作安排合理。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