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与活性验证组成的完整链条，该框架同样适用于其他疾病队列与微生物组研究；其三，通过对候选抗菌肽的发病机制关联分析与抑菌活性验证，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可在体外实验中表现出抑菌活性，为计算预测与实验验证相结合提供了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发病机制的关联分析。参照乙酰胆碱酯酶（acetylcholinesterase, AChE）—β-淀粉样肽复合物分子模拟研究的思路，从三个方向考察特有抗菌肽与 AD 发病机制的关联：与 β-淀粉样肽的相互作用及其对聚集与纤维化过程的影响；与 AChE 外周阴离子位点结合、从而干扰成核环节的可能性；经免疫调节与炎症通路参与神经炎症的可能性。分析结果以结合情况、复合物稳定性与通路层面的解释为主，研究定位为线索发现。</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结果整理与论文撰写。将候选抗菌肽名单、分阶段差异结果、特有抗菌肽清单以及机制关联与抑菌实验结果汇总为完整的图表与结论体系，按学位论文规范完成学位论文撰写，并在此基础上整理投稿论文。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最后以实验验证提供直接证据，形成由计算到实验、由弱到强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发病机制的关联分析：进行中，分析方案已确定，正在开展与 Aβ 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与抑菌实验验证的输入，使计算分析与实验验证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 β-淀粉样肽、乙酰胆碱酯酶外周阴离子位点的结合情况与复合物稳定性，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同时完成了候选抗菌肽抑菌实验的方案设计，明确了候选肽的选择原则、指示菌种类、初筛与定量方法、对照设置与判读标准。实验设计遵循通用、可复现的原则：采用纸片扩散法观察抑菌圈进行初筛，再以微量肉汤稀释法测定最低抑菌浓度，设置阳性对照与阴性对照并对每组设置重复；实验在常规微生物实验室条件下即可完成，不涉及复杂的动物实验或组学实验，与课题的时间安排相匹配。</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健康人群特有与各阶段特有的抗菌肽清单；已完成机制关联分析与抑菌实验的方案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在此基础上完成学位论文，按培养计划参加预答辩与学位申请。若实验验证结果符合预期，将进一步补充机制讨论与验证证据，作为学位论文的组成部分。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Aβ、AChE 外周阴离子位点的结合模式与复合物稳定性，重点关注其对 Aβ 聚集过程与成核环节的可能影响；同时结合文献比对与功能注释，从免疫调节与炎症通路角度分析候选肽可能参与的作用环节。分析过程中保留参数设置与轨迹分析结果，以保证结论可复核。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发病机制关联的分析结果，包括结合情况、稳定性评价与通路层面的解释；对证据较强的候选肽形成优先验证清单，为后续实验与论文讨论提供依据。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预期产出：候选抗菌肽抑菌活性的初步结果与活性—序列关系的初步观察，作为学位论文实验验证章节的主要内容，并为候选肽的后续深入研究提供筛选依据。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实验验证与论文撰写在时间上存在并行压力。应对：严格控制候选肽数量与实验内容，优先完成初筛与最低抑菌浓度测定；实验与论文撰写并行推进，预留缓冲时间，确保按计划完成预答辩与学位申请。</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自开题以来，导师在论文选题与总体框架、研究方案与技术路线、阶段成果整理与学术规范等方面给予持续指导。选题阶段，结合课题组在肠道微生物与抗菌肽方向的研究基础，协助确定以 AD 人群的肠道微生物组为对象、以微生物源抗菌肽为切入点，并按认知功能阶段开展比较研究的技术路线。研究实施阶段，针对单一模型预测容易产生假阳性的问题，指导采用多个模型独立预测、取一致阳性结果构成候选集合，并进一步引入宏蛋白组表达证据进行二次去重；对公开数据的来源与处理口径、分析流程的可复现性以及结果表述的严谨性提出明确要求，强调区分计算预测与实验证据、不夸大因果性结论。同时通过定期组会与阶段汇报督促研究进度，并就结果整理、论文写作与投稿计划给出具体建议。目前论文主体分析工作已完成，机制关联分析与抑菌实验验证正在推进，学位论文与投稿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特有抗菌肽筛选等主体工作，结果可信，进度与开题计划一致；对预测假阳性、部分样本缺少可用参考基因组、机制关联证据强度有限等问题已有明确处理办法，后续工作安排合理。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