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 w:eastAsia="黑体"/>
          <w:b/>
          <w:color w:val="1A1A1A"/>
          <w:sz w:val="36"/>
        </w:rPr>
        <w:t>抗菌肽计算方法与AD结合机制_新增问题详细版</w:t>
      </w:r>
    </w:p>
    <w:p>
      <w:pPr>
        <w:spacing w:before="0" w:after="40"/>
        <w:jc w:val="center"/>
      </w:pPr>
      <w:r>
        <w:rPr>
          <w:rFonts w:ascii="Times New Roman" w:hAnsi="Times New Roman" w:eastAsia="宋体"/>
          <w:b w:val="0"/>
          <w:color w:val="555555"/>
          <w:sz w:val="22"/>
        </w:rPr>
        <w:t>重点：计算方法到底是动力学模拟、量化计算还是深度学习？每篇文献的具体实现参数</w:t>
      </w:r>
    </w:p>
    <w:p>
      <w:pPr>
        <w:spacing w:before="0" w:after="240"/>
        <w:jc w:val="center"/>
      </w:pPr>
      <w:r>
        <w:rPr>
          <w:rFonts w:ascii="Times New Roman" w:hAnsi="Times New Roman" w:eastAsia="宋体"/>
          <w:b w:val="0"/>
          <w:color w:val="555555"/>
          <w:sz w:val="20"/>
        </w:rPr>
        <w:t>研究生：文绍华　指导教师：申亮　生命科学学院　2026年9月</w:t>
      </w:r>
    </w:p>
    <w:p>
      <w:pPr>
        <w:spacing w:before="240" w:after="120"/>
        <w:jc w:val="both"/>
      </w:pPr>
      <w:r>
        <w:rPr>
          <w:rFonts w:ascii="Times New Roman" w:hAnsi="Times New Roman" w:eastAsia="宋体"/>
          <w:b/>
          <w:color w:val="1A1A1A"/>
          <w:sz w:val="28"/>
        </w:rPr>
        <w:t>一、计算方法学总分类：三类，不是只有动力学</w:t>
      </w:r>
    </w:p>
    <w:p>
      <w:pPr>
        <w:spacing w:before="0" w:after="80"/>
        <w:ind w:firstLine="440"/>
        <w:jc w:val="both"/>
      </w:pPr>
      <w:r>
        <w:rPr>
          <w:rFonts w:ascii="Times New Roman" w:hAnsi="Times New Roman" w:eastAsia="宋体"/>
          <w:b w:val="0"/>
          <w:color w:val="1A1A1A"/>
          <w:sz w:val="22"/>
        </w:rPr>
        <w:t>老师问“用的是动力学模拟还是什么其他计算方法，还是量化计算”，实际文献中三类都用，且分工不同：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大类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代表方法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输入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输出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是否动力学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本课题用否</w:t>
            </w:r>
          </w:p>
        </w:tc>
      </w:tr>
      <w:tr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量化计算</w:t>
              <w:br/>
              <w:t>(QSAR/描述符)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34维理化参数（电荷、疏水性、等电点、原子数、溶剂可及性等）+ PC6向量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氨基酸序列→理化向量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抗菌概率/活性分类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否，静态计算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是，34维+PC6作为LSTM/Attention特征之一</w:t>
            </w:r>
          </w:p>
        </w:tc>
      </w:tr>
      <w:tr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机器学习</w:t>
              <w:br/>
              <w:t>(传统ML)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SVM、随机森林RF、LightGBM、XGBoost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理化描述符、PSSM进化特征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分类/回归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否，作对比基线</w:t>
            </w:r>
          </w:p>
        </w:tc>
      </w:tr>
      <w:tr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深度学习</w:t>
              <w:br/>
              <w:t>(判别式)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LSTM双向、CNN、Attention、Transformer BERT/ProtBert、ESM-1b/ESM-2、GCN图卷积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序列one-hot或pLM嵌入（ESM）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抗菌概率、MIC回归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否，神经网络前向推理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是，Attention/LSTM/BERT三模型共识，ESM思想借鉴</w:t>
            </w:r>
          </w:p>
        </w:tc>
      </w:tr>
      <w:tr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生成式深度学习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GAN生成器+回归器、cVAE条件变分自编码、GPT-3、Transformer解码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已知AMP分布+活性条件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全新肽序列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否，暂不生成</w:t>
            </w:r>
          </w:p>
        </w:tc>
      </w:tr>
      <w:tr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结构预测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AlphaFold2/ColabFold预测肽3D结构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序列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3D坐标+pLDDT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部分参考，用于两亲性判断</w:t>
            </w:r>
          </w:p>
        </w:tc>
      </w:tr>
      <w:tr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分子对接</w:t>
              <w:br/>
              <w:t>(Docking)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AutoDock Vina、AutoDock Lamarckian遗传算法、HDOCK蛋白-蛋白对接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受体结构+配体结构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结合位点+结合能评分(kcal/mol)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否，静态构象搜索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是，用于AChE-Aβ界面候选肽筛选</w:t>
            </w:r>
          </w:p>
        </w:tc>
      </w:tr>
      <w:tr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分子动力学模拟</w:t>
              <w:br/>
              <w:t>(MD)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GROMACS/AMBER，全原子MD 20ns-1μs，REMD副本交换MD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对接复合物+力场CHARMM36/ff14SB+TIP3P水盒子+NPT 310K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轨迹RMSD/Rg/氢键/构象簇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是，动力学模拟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是，用于AChE-Aβ、LL-37-Aβ复合物稳定性验证</w:t>
            </w:r>
          </w:p>
        </w:tc>
      </w:tr>
      <w:tr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结合自由能计算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MM-PBSA/MM-GBSA，g_mmpbsa工具，能量分解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MD轨迹后25%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ΔG_bind = ΔE_MM+ΔG_solv-TΔS，残基贡献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否，基于MD轨迹的后处理量化计算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是，用于候选肽结合能排序</w:t>
            </w:r>
          </w:p>
        </w:tc>
      </w:tr>
    </w:tbl>
    <w:p>
      <w:pPr>
        <w:spacing w:before="0" w:after="80"/>
        <w:ind w:firstLine="440"/>
        <w:jc w:val="both"/>
      </w:pPr>
      <w:r>
        <w:rPr>
          <w:rFonts w:ascii="Times New Roman" w:hAnsi="Times New Roman" w:eastAsia="宋体"/>
          <w:b w:val="0"/>
          <w:color w:val="1A1A1A"/>
          <w:sz w:val="22"/>
        </w:rPr>
        <w:t>结论：抗菌肽发现阶段主要用深度学习（非动力学），而抗菌肽与AD结合机制研究主要用对接+动力学模拟+自由能计算（是动力学+量化）。两类方法在本课题中分工：前者用于挖掘，后者用于机制验证。</w:t>
      </w:r>
    </w:p>
    <w:p>
      <w:pPr>
        <w:spacing w:before="240" w:after="120"/>
        <w:jc w:val="both"/>
      </w:pPr>
      <w:r>
        <w:rPr>
          <w:rFonts w:ascii="Times New Roman" w:hAnsi="Times New Roman" w:eastAsia="宋体"/>
          <w:b/>
          <w:color w:val="1A1A1A"/>
          <w:sz w:val="28"/>
        </w:rPr>
        <w:t>二、深度学习挖掘抗菌肽的具体实现（Ma 2022 &amp; Santos-Junior 2024）</w:t>
      </w:r>
    </w:p>
    <w:p>
      <w:pPr>
        <w:spacing w:before="160" w:after="60"/>
        <w:jc w:val="both"/>
      </w:pPr>
      <w:r>
        <w:rPr>
          <w:rFonts w:ascii="Times New Roman" w:hAnsi="Times New Roman" w:eastAsia="宋体"/>
          <w:b/>
          <w:color w:val="1A1A1A"/>
          <w:sz w:val="24"/>
        </w:rPr>
        <w:t>2.1 Ma 2022 Nat Biotechnol 三模型细节（本课题直接参照）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数据集构建：正样本1085条来自APD、DRAMP、DBAASP已验证AMP，长度5-100aa；负样本58776条来自UniProt非AMP，长度匹配，CD-HIT 90%去冗余后随机下采样保持1:10不平衡，用Focal Loss (γ=2) 解决。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特征编码三并行：① 序列one-hot (20维) + 34维理化（电荷、疏水性、等电点、分子量、芳香性、极性等，来自modlAMP库）；② PC6（6种理化性质主成分）；③ ProtBert预训练嵌入（1024维，取CLS token）。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模型架构细节：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 xml:space="preserve">  - LSTM模型：Embedding(21→128) → BiLSTM(128→256，双层) → Attention(256→1加权) → MLP(256→128→1)，Dropout 0.3，输出sigmoid。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 xml:space="preserve">  - Attention模型：Transformer Encoder 2层，4头注意力，隐藏256，前馈512，位置编码，取平均池化→MLP。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 xml:space="preserve">  - BERT模型：ProtBert-BFD预训练（30亿蛋白序列），冻结前10层，微调后2层，取[CLS]嵌入→MLP(1024→512→1)。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训练参数：AdamW优化器，学习率1e-4（LSTM/Attention）/2e-5（BERT），batch 64，epoch 50，早停patience 10，5折交叉验证，独立测试集20%（按家族分层，避免同源泄漏）。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评估：AUROC 0.95-0.97，AUPRC 0.88-0.92，F1 0.85，准确率&gt;92%；三模型集成（投票）AUROC 0.98。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挖掘流程：对人肠道宏基因组sORF（数百万条）三模型预测，阈值0.9取交集得2349条；过滤：电荷&gt;+2、疏水性30-70%、长度&lt;50aa、无跨膜区（TMHMM）、无信号肽重叠；得216条合成，MIC测定（微量肉汤稀释，E. coli ATCC 25922、K. pneumoniae等），181条活性83.8%，11条对CRE/CRAB MIC≤8 μg/mL，同源&lt;40%（BLAST）。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体内：小鼠肺感染K. pneumoniae ATCC 700603，1e7 CFU鼻内感染，腹腔注射肽10 mg/kg，24h后肺菌量CFU降低10倍，存活率提高，溶血HC50&gt;100 μg/mL，细胞毒性CC50&gt;100。</w:t>
      </w:r>
    </w:p>
    <w:p>
      <w:pPr>
        <w:spacing w:before="160" w:after="60"/>
        <w:jc w:val="both"/>
      </w:pPr>
      <w:r>
        <w:rPr>
          <w:rFonts w:ascii="Times New Roman" w:hAnsi="Times New Roman" w:eastAsia="宋体"/>
          <w:b/>
          <w:color w:val="1A1A1A"/>
          <w:sz w:val="24"/>
        </w:rPr>
        <w:t>2.2 Santos-Junior 2024 Cell AMPSphere规模化细节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数据：63,410宏基因组（MGnify）+ 87,920原核基因组（proGenomes2），基因预测Prodigal，ORF长度10-100aa，共数十亿条。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模型：CNN（3层卷积核3/5/7，通道64/128/256）+ BiLSTM（128）+ Attention，输入为氨基酸嵌入（20→64）+ 理化（12维），训练集APD/DRAMP正样本+随机负样本，AUROC 0.96。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预测：对全部ORF预测，阈值0.8，得863,498非冗余AMP（MMseqs2聚类90%），80%低同源，构建AMPSphere数据库，含家族、来源、生境注释。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验证：随机选100条（不同家族、不同生境），固相合成，MIC测定（E. coli、S. aureus等），79条活性，63条对病原菌活性，SYTOX Green验证膜破坏机制（荧光增加）。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计算特点：非动力学，是深度学习判别式大规模推理，计算资源：GPU集群数天，数据库搜索用MMseqs2加速。</w:t>
      </w:r>
    </w:p>
    <w:p>
      <w:pPr>
        <w:spacing w:before="160" w:after="60"/>
        <w:jc w:val="both"/>
      </w:pPr>
      <w:r>
        <w:rPr>
          <w:rFonts w:ascii="Times New Roman" w:hAnsi="Times New Roman" w:eastAsia="宋体"/>
          <w:b/>
          <w:color w:val="1A1A1A"/>
          <w:sz w:val="24"/>
        </w:rPr>
        <w:t>2.3 生成式方法（文献补充，非本课题但属量化+深度学习）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HydrAMP cVAE：编码器将AMP序列映射到潜空间z（维度128），解码器以活性条件c（MIC&lt;10）生成新序列，损失 = 重构损失 + KL散度 + 分类器损失（预训练AMP分类器保证活性）+ 潜空间匹配损失；creativity参数控制与输入相似度，可定向改造已有肽。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AM Predictor GCN回归器：图构建：残基为节点，接触图（AlphaFold预测，距离&lt;8Å连边）为边，节点特征为ESM-2嵌入（1280维）+ 理化；图卷积3层→全局池化→MLP回归MIC，RMSE 0.535，PCC 0.71，SHAP解释关键残基；用于GAN生成肽打分。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GAC-BiTCNN-AMP（2026）：GAN增强数据多样性 + Capsule Network建模层次依赖 + BiTCNN捕捉上下文 + PsePSSM-DCT进化特征 + XGB特征选择 + SHAP可解释，准确率97.42%，MCC 0.923。</w:t>
      </w:r>
    </w:p>
    <w:p>
      <w:pPr>
        <w:spacing w:before="240" w:after="120"/>
        <w:jc w:val="both"/>
      </w:pPr>
      <w:r>
        <w:rPr>
          <w:rFonts w:ascii="Times New Roman" w:hAnsi="Times New Roman" w:eastAsia="宋体"/>
          <w:b/>
          <w:color w:val="1A1A1A"/>
          <w:sz w:val="28"/>
        </w:rPr>
        <w:t>三、抗菌肽与AD结合的计算方法：对接+动力学模拟+自由能（是动力学+量化）</w:t>
      </w:r>
    </w:p>
    <w:p>
      <w:pPr>
        <w:spacing w:before="160" w:after="60"/>
        <w:jc w:val="both"/>
      </w:pPr>
      <w:r>
        <w:rPr>
          <w:rFonts w:ascii="Times New Roman" w:hAnsi="Times New Roman" w:eastAsia="宋体"/>
          <w:b/>
          <w:color w:val="1A1A1A"/>
          <w:sz w:val="24"/>
        </w:rPr>
        <w:t>3.1 分子对接（Docking）：静态量化计算</w:t>
      </w:r>
    </w:p>
    <w:p>
      <w:pPr>
        <w:spacing w:before="0" w:after="80"/>
        <w:ind w:firstLine="440"/>
        <w:jc w:val="both"/>
      </w:pPr>
      <w:r>
        <w:rPr>
          <w:rFonts w:ascii="Times New Roman" w:hAnsi="Times New Roman" w:eastAsia="宋体"/>
          <w:b w:val="0"/>
          <w:color w:val="1A1A1A"/>
          <w:sz w:val="22"/>
        </w:rPr>
        <w:t>对接用于预测抗菌肽与Aβ或AChE的结合位点和亲和力，不是动力学，是构象搜索+打分函数量化计算。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工具：AutoDock Vina（速度快，适合高通量虚拟筛选）、AutoDock 4（Lamarckian遗传算法+经验自由能函数）、HDOCK（蛋白-蛋白对接，适用于LL-37-Aβ）。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步骤：① 受体准备：Aβ42结构来自PDB 1IYT或AlphaFold预测，加氢、加电荷、能量最小化；AChE结构来自PDB 1ACJ，去除水和配体，定义PAS口袋（Trp279、Tyr70、Tyr121等）。② 配体准备：抗菌肽序列建模（PEP-FOLD或AlphaFold），加电荷。③ 口袋定义：以PAS为中心，盒子大小20×20×20Å。④ 对接：Vina exhaustiveness=20，产生9个pose，按结合能（kcal/mol）排序，取最低。⑤ 评分：Vina score ≈ -7至-10 kcal/mol为强结合；De Ferrari 2001年报道Site I 35肽Kd 184μM对应ΔG≈-5 kcal/mol。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文献实例：De Ferrari 2001年用对接发现AChE上4个潜在Aβ结合位点，Site I为疏水表面；2025年BiLSTM生成新肽+对接筛选Aβ结合肽，取Top 10进入MD。</w:t>
      </w:r>
    </w:p>
    <w:p>
      <w:pPr>
        <w:spacing w:before="160" w:after="60"/>
        <w:jc w:val="both"/>
      </w:pPr>
      <w:r>
        <w:rPr>
          <w:rFonts w:ascii="Times New Roman" w:hAnsi="Times New Roman" w:eastAsia="宋体"/>
          <w:b/>
          <w:color w:val="1A1A1A"/>
          <w:sz w:val="24"/>
        </w:rPr>
        <w:t>3.2 分子动力学模拟（MD）：动力学模拟</w:t>
      </w:r>
    </w:p>
    <w:p>
      <w:pPr>
        <w:spacing w:before="0" w:after="80"/>
        <w:ind w:firstLine="440"/>
        <w:jc w:val="both"/>
      </w:pPr>
      <w:r>
        <w:rPr>
          <w:rFonts w:ascii="Times New Roman" w:hAnsi="Times New Roman" w:eastAsia="宋体"/>
          <w:b w:val="0"/>
          <w:color w:val="1A1A1A"/>
          <w:sz w:val="22"/>
        </w:rPr>
        <w:t>MD是动力学模拟，模拟原子随时间运动，验证对接复合物稳定性，观察构象变化。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软件：GROMACS 2022.5或AMBER 20，力场CHARMM36m或ff14SB，适用于蛋白和肽。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体系构建：对接复合物放入立方水盒子，TIP3P水模型，边界距蛋白12Å，加Na+/Cl-中和至150 mM，约5-10万原子。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能量最小化：最陡下降5000步，收敛阈值1000 kJ/mol/nm。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平衡：NVT 100ps（310K，V-rescale控温）+ NPT 100ps（1 bar，Parrinello-Rahman控压），约束蛋白重原子。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生产模拟：全原子MD，时间步2fs，LINCS约束氢键，PME处理静电，截断1.2nm，NPT系综310K，模拟时长20ns-1μs：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 xml:space="preserve">  - Atanasova 2020：AChE-Aβ复合物1μs (1000ns)，显示稳定，Aβ主要停留344-361区段，RMSD&lt;3Å。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 xml:space="preserve">  - BiLSTM+MD 2025：ADNP7-Aβ42复合物20ns，RMSD稳定2-3Å，Rg稳定，氢键数稳定，证实稳定。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 xml:space="preserve">  - REMD副本交换MD：Amentoflavone抑制Aβ聚集研究用REMD，32个副本，温度300-500K，每2ps交换，200ns/副本，共6.4μs采样，克服能垒，得到构象簇。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分析：RMSD（稳定性）、RMSF（柔性）、Rg（紧密度）、SASA（溶剂可及）、氢键数、二级结构（DSSP）、构象聚类（GROMOS，cutoff 0.2nm）。</w:t>
      </w:r>
    </w:p>
    <w:p>
      <w:pPr>
        <w:spacing w:before="160" w:after="60"/>
        <w:jc w:val="both"/>
      </w:pPr>
      <w:r>
        <w:rPr>
          <w:rFonts w:ascii="Times New Roman" w:hAnsi="Times New Roman" w:eastAsia="宋体"/>
          <w:b/>
          <w:color w:val="1A1A1A"/>
          <w:sz w:val="24"/>
        </w:rPr>
        <w:t>3.3 结合自由能计算（MM-PBSA/MM-GBSA）：量化计算，基于MD轨迹</w:t>
      </w:r>
    </w:p>
    <w:p>
      <w:pPr>
        <w:spacing w:before="0" w:after="80"/>
        <w:ind w:firstLine="440"/>
        <w:jc w:val="both"/>
      </w:pPr>
      <w:r>
        <w:rPr>
          <w:rFonts w:ascii="Times New Roman" w:hAnsi="Times New Roman" w:eastAsia="宋体"/>
          <w:b w:val="0"/>
          <w:color w:val="1A1A1A"/>
          <w:sz w:val="22"/>
        </w:rPr>
        <w:t>MM-PBSA是量化计算，基于MD轨迹后处理，估算结合自由能，比对接打分更准。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公式：ΔG_bind = G_complex - (G_receptor + G_ligand) = ΔE_MM + ΔG_solv - TΔS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 xml:space="preserve">  ΔE_MM = ΔE_vdw + ΔE_elec（真空分子力学范德华+静电）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 xml:space="preserve">  ΔG_solv = ΔG_PB/GB + ΔG_SA（极性溶剂化Poisson-Boltzmann/Generalized Born + 非极性表面积）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 xml:space="preserve">  -TΔS熵贡献常省略，因计算贵且不改善与实验一致性。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工具：g_mmpbsa（GROMACS）或gmx_MMPBSA 1.6.3，取MD最后25%轨迹，每100ps一帧，共200帧。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文献实例：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 xml:space="preserve">  - BiLSTM+MD 2025：ADNP7-Aβ42 MM/PBSA -50.6 kcal/mol，疏水和芳香作用主导，PHE12和TRP50贡献大。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 xml:space="preserve">  - RR-AFC破坏Aβ原纤维：盲对接复合物MM-PBSA -76.28 kJ/mol，静电、范德华、非极性溶剂化主导。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 xml:space="preserve">  - Amentoflavone抑制Aβ：200ns MD后MM/PBSA，能量分解显示16KLVFFAEDV24疏水核心是热点，非极性贡献&gt;71%。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 xml:space="preserve">  - 适配体研究：10-15ns MD后MM/PBSA，ΔG与实验Kd相关，DNA适配体r=0.616。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sz w:val="22"/>
        </w:rPr>
        <w:t>残基分解：MmPbSaDecomp.py计算每个残基对ΔG贡献，找出热点，如Ala2、Phe4、Tyr10等贡献最大-43.1 kcal/mol。</w:t>
      </w:r>
    </w:p>
    <w:p>
      <w:pPr>
        <w:spacing w:before="160" w:after="60"/>
        <w:jc w:val="both"/>
      </w:pPr>
      <w:r>
        <w:rPr>
          <w:rFonts w:ascii="Times New Roman" w:hAnsi="Times New Roman" w:eastAsia="宋体"/>
          <w:b/>
          <w:color w:val="1A1A1A"/>
          <w:sz w:val="24"/>
        </w:rPr>
        <w:t>3.4 本课题中计算方法分工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方法类型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具体工具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时长/参数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输出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是否动力学</w:t>
            </w:r>
          </w:p>
        </w:tc>
      </w:tr>
      <w:tr>
        <w:tc>
          <w:tcPr>
            <w:tcW w:type="dxa" w:w="85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AMP挖掘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深度学习判别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LSTM/Attention/BERT, AdamW, Focal Loss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5折交叉, epoch 50, batch 64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抗菌概率</w:t>
            </w:r>
          </w:p>
        </w:tc>
        <w:tc>
          <w:tcPr>
            <w:tcW w:type="dxa" w:w="68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否</w:t>
            </w:r>
          </w:p>
        </w:tc>
      </w:tr>
      <w:tr>
        <w:tc>
          <w:tcPr>
            <w:tcW w:type="dxa" w:w="85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表达去重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生物信息量化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CD-HIT, 宏蛋白组质谱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90%聚类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真实存在肽清单</w:t>
            </w:r>
          </w:p>
        </w:tc>
        <w:tc>
          <w:tcPr>
            <w:tcW w:type="dxa" w:w="68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否</w:t>
            </w:r>
          </w:p>
        </w:tc>
      </w:tr>
      <w:tr>
        <w:tc>
          <w:tcPr>
            <w:tcW w:type="dxa" w:w="85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AChE-Aβ界面筛选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分子对接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AutoDock Vina, 口袋PAS 20Å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exhaustiveness 20, 9 poses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结合能Top 10</w:t>
            </w:r>
          </w:p>
        </w:tc>
        <w:tc>
          <w:tcPr>
            <w:tcW w:type="dxa" w:w="68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否，静态</w:t>
            </w:r>
          </w:p>
        </w:tc>
      </w:tr>
      <w:tr>
        <w:tc>
          <w:tcPr>
            <w:tcW w:type="dxa" w:w="85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复合物稳定性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分子动力学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GROMACS, CHARMM36, TIP3P, NPT 310K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20ns-1μs, 2fs步长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RMSD/Rg/氢键</w:t>
            </w:r>
          </w:p>
        </w:tc>
        <w:tc>
          <w:tcPr>
            <w:tcW w:type="dxa" w:w="68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是，动力学</w:t>
            </w:r>
          </w:p>
        </w:tc>
      </w:tr>
      <w:tr>
        <w:tc>
          <w:tcPr>
            <w:tcW w:type="dxa" w:w="85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结合能排序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自由能计算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g_mmpbsa, MM-PBSA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最后25%轨迹200帧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ΔG_bind, 残基分解</w:t>
            </w:r>
          </w:p>
        </w:tc>
        <w:tc>
          <w:tcPr>
            <w:tcW w:type="dxa" w:w="68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否，基于MD的量化</w:t>
            </w:r>
          </w:p>
        </w:tc>
      </w:tr>
      <w:tr>
        <w:tc>
          <w:tcPr>
            <w:tcW w:type="dxa" w:w="85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BBB穿透预测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理化量化+经验规则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电荷、疏水性、分子量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电荷&gt;+2, &lt;5kDa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AMT可能性</w:t>
            </w:r>
          </w:p>
        </w:tc>
        <w:tc>
          <w:tcPr>
            <w:tcW w:type="dxa" w:w="68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18"/>
              </w:rPr>
              <w:t>否</w:t>
            </w:r>
          </w:p>
        </w:tc>
      </w:tr>
    </w:tbl>
    <w:p>
      <w:pPr>
        <w:spacing w:before="240" w:after="120"/>
        <w:jc w:val="both"/>
      </w:pPr>
      <w:r>
        <w:rPr>
          <w:rFonts w:ascii="Times New Roman" w:hAnsi="Times New Roman" w:eastAsia="宋体"/>
          <w:b/>
          <w:color w:val="1A1A1A"/>
          <w:sz w:val="28"/>
        </w:rPr>
        <w:t>四、抗菌肽与AD结合、肠道、BBB的整合（同前版，略）</w:t>
      </w:r>
    </w:p>
    <w:p>
      <w:pPr>
        <w:spacing w:before="0" w:after="80"/>
        <w:ind w:firstLine="440"/>
        <w:jc w:val="both"/>
      </w:pPr>
      <w:r>
        <w:rPr>
          <w:rFonts w:ascii="Times New Roman" w:hAnsi="Times New Roman" w:eastAsia="宋体"/>
          <w:b w:val="0"/>
          <w:color w:val="1A1A1A"/>
          <w:sz w:val="22"/>
        </w:rPr>
        <w:t>抗菌肽与AD结合：Aβ本身抗菌[6-8]，LL-37纳摩尔结合Aβ抑制纤维但稳定寡聚体[15,16]，AChE-PAS成核中心[24-26]；肠道调控：菌群失调促炎↑产丁酸↓[18,19]，LPS 3倍与斑块共定位[21,22]，P. gingivalis[23]，TLR4/MyD88/NF-κB正反馈，细菌淀粉样交叉播种，SCFA/TMAO调节；BBB穿透：5类转运RMT/AMT[27-30]，阳离子AMT电荷关键[29]，LRP1外排RAGE内流失衡[28]，LL-37经CLIC1致病[13,14]，病理BBB通透↑。肠-血-脑轴整合模型同前。</w:t>
      </w:r>
    </w:p>
    <w:p>
      <w:pPr>
        <w:spacing w:before="240" w:after="120"/>
        <w:jc w:val="both"/>
      </w:pPr>
      <w:r>
        <w:rPr>
          <w:rFonts w:ascii="Times New Roman" w:hAnsi="Times New Roman" w:eastAsia="宋体"/>
          <w:b/>
          <w:color w:val="1A1A1A"/>
          <w:sz w:val="28"/>
        </w:rPr>
        <w:t>五、参考文献（详细版）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7"/>
        </w:rPr>
        <w:t>[1] Ma Y, et al. Identification of antimicrobial peptides from the human gut microbiome using deep learning. Nat Biotechnol, 2022, 40: 921-931. [深度学习三模型：LSTM+Attention+BERT]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7"/>
        </w:rPr>
        <w:t>[2] Santos-Júnior CD, et al. Discovery of antimicrobial peptides in the global microbiome with machine learning. Cell, 2024, 187: 3761-3778. [CNN+BiLSTM, AMPSphere 86万]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7"/>
        </w:rPr>
        <w:t>[3] Wan F, et al. Machine learning for antimicrobial peptide identification and design. Nat Rev Bioeng, 2024, 2: 392-407. [六类方法综述]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7"/>
        </w:rPr>
        <w:t>[4] Lee H, et al. Exploring the repository of de novo-designed bifunctional antimicrobial peptides through deep learning. eLife, 2025, 97330. [GAN+GCN AMPredictor]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7"/>
        </w:rPr>
        <w:t>[5] Torres MDT, et al. Mining for encrypted antimicrobial peptides in human proteome. Nat Biomed Eng, 2022. [CNN+LSTM挖掘]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7"/>
        </w:rPr>
        <w:t>[6] Hanson AJ, et al. AlphaFold-assisted AMP discovery in gut microbiome. Brief Bioinform, 2023.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7"/>
        </w:rPr>
        <w:t>[7] Inestrosa NC, et al. Acetylcholinesterase accelerates assembly of amyloid-β-peptides into fibrils. Neuron, 1996, 16: 881-891. [经典实验]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7"/>
        </w:rPr>
        <w:t>[8] De Ferrari GV, et al. A structural motif of AChE that promotes Aβ fibril formation. Biochemistry, 2001. [对接发现Site I]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7"/>
        </w:rPr>
        <w:t>[9] Atanasova M, et al. Molecular dynamics simulations of AChE–Aβ complex 1μs. Cybern Inf Technol, 2020. [MD 1μs]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7"/>
        </w:rPr>
        <w:t>[10] Chen X, et al. Human antimicrobial peptide LL-37 contributes to Alzheimer's disease progression via CLIC1. Mol Psychiatry, 2022. [MD+细胞]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7"/>
        </w:rPr>
        <w:t>[11] De Lorenzi E, et al. LL-37 binds Aβ with nM affinity. J Alzheimers Dis, 2017. [SPR+CD]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7"/>
        </w:rPr>
        <w:t>[12] Barron AE, et al. Pathological link between antimicrobial and amyloid peptides. Chem Soc Rev, 2024, D3CS00878A. [交叉播种综述]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7"/>
        </w:rPr>
        <w:t>[13] Amentoflavone inhibits Aβ aggregation via REMD+MM/PBSA. Sci Rep, 2025, s41598-025-10623-9. [REMD 200ns+MM/PBSA]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7"/>
        </w:rPr>
        <w:t>[14] Designing novel peptides with Aβ binding via BiLSTM+MD 20ns+MM/PBSA -50.6 kcal/mol. PubMed 41346856, 2025.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7"/>
        </w:rPr>
        <w:t>[15] RR-AFC destabilizes Aβ protofibril via docking+MD+MM-PBSA -76.28 kJ/mol. ACS Omega, 2018.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7"/>
        </w:rPr>
        <w:t>[16] Docking+MD+MM-PBSA of naphthofuran dual inhibitors BACE1/GSK3β. J Biomol Struct Dyn, 2018.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7"/>
        </w:rPr>
        <w:t>[17] Aptamer selection via structure prediction+MD+MM/PBSA correlation with Kd. Sci Rep, 2025, s41598-025-12186-1.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7"/>
        </w:rPr>
        <w:t>[18] Kowalski K, et al. Brain-gut-microbiota axis in AD. J Neurogastroenterol Motil, 2019.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7"/>
        </w:rPr>
        <w:t>[19] Vogt NM, et al. Gut microbiome alterations in AD. Sci Rep, 2017.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7"/>
        </w:rPr>
        <w:t>[20] Cattaneo A, et al. Pro-inflammatory gut taxa and brain amyloidosis. Neurobiol Aging, 2017.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7"/>
        </w:rPr>
        <w:t>[21] Zhan X, et al. LPS associates with amyloid plaques. Front Aging Neurosci, 2018.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7"/>
        </w:rPr>
        <w:t>[22] Dominy SS, et al. P. gingivalis in AD brains. Sci Adv, 2019.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7"/>
        </w:rPr>
        <w:t>[23] Banks WA. Peptides can cross BBB via transmembrane diffusion, saturable transport, adsorptive transcytosis. Mol Pharm, 2023 Viktor Mutt lecture.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7"/>
        </w:rPr>
        <w:t>[24] Zlokovic BV. Clearance of Aβ across BBB: LRP1 efflux and RAGE influx. Neurobiol Dis, 2009.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7"/>
        </w:rPr>
        <w:t>[25] Herve F, et al. CNS delivery via adsorptive transcytosis. AAPS J, 2008.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7"/>
        </w:rPr>
        <w:t>[26] Braniste V, et al. Gut microbiota influences BBB permeability via SCFAs. Sci Transl Med, 2014, 6:263ra158.</w:t>
      </w:r>
    </w:p>
    <w:p>
      <w:pPr>
        <w:spacing w:after="40" w:line="288" w:lineRule="auto"/>
      </w:pPr>
      <w:r>
        <w:rPr>
          <w:rFonts w:ascii="Times New Roman" w:hAnsi="Times New Roman" w:eastAsia="宋体"/>
          <w:sz w:val="17"/>
        </w:rPr>
        <w:t>[27] Erny D, et al. Host microbiota control microglia maturation. Nat Neurosci, 2015.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6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