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健康人群特有与各疾病阶段特有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宏蛋白组表达证据二次去重与健康人群／各阶段特有抗菌肽筛选：已完成，已形成特有抗菌肽清单。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发病机制的关联分析：进行中，分析方案已确定，正在开展与 Aβ 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选出健康人群特有与各疾病阶段特有的抗菌肽，形成本课题最具特色的阶段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发病机制关联分析的技术方案设计：以分子对接与分子动力学模拟考察候选肽与 β-淀粉样肽、乙酰胆碱酯酶外周阴离子位点的结合情况与复合物稳定性，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患者与健康人群肠道微生物源抗菌肽的分阶段差异及特有肽筛选"为主要内容，重点阐述多模型共识预测与宏蛋白组表达证据去重相结合的分析框架，以及特有抗菌肽与 AD 发病机制关联的分析结果。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内容：完成健康人群特有肽与各阶段特有肽的功能关联分析，判断候选抗菌肽是否可能参与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群特有与各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健康人群特有与各阶段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将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特有肽清单，结果可相互印证。完成实验后集中进行结果整理与补充分析，形成完整的图表体系与结论框架，并同步整理投稿论文的材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选题与总体框架、研究方案与技术路线、阶段成果整理与学术规范等方面给予持续指导。针对单一模型预测容易产生假阳性的问题，指导采用多模型独立预测、取一致阳性结果构成候选集合，并引入宏蛋白组表达证据二次去重；强调区分计算预测与实验证据、不夸大因果性结论，并通过定期组会督促研究进度。目前主体分析已完成，机制关联分析与抑菌实验验证正在推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科研作风严谨，能够独立完成数据处理与建模工作，中期阶段已完成数据资源构建、多模型共识预测、分阶段差异分析与特有抗菌肽筛选等主体工作，结果可信，进度与开题计划一致。同意该生参加学位论文预答辩。</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张兴晓</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生物工程</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程仕伟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生物工程</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牟萍</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生物制药</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朱洪伟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生物制药</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鲍诚</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生物制药</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于馨</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生物制药</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