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200" w:line="288" w:lineRule="auto"/>
        <w:jc w:val="center"/>
      </w:pPr>
      <w:r>
        <w:rPr>
          <w:rFonts w:ascii="Times New Roman" w:hAnsi="Times New Roman" w:eastAsia="微软雅黑"/>
          <w:b/>
          <w:i w:val="0"/>
          <w:color w:val="10305A"/>
          <w:sz w:val="48"/>
        </w:rPr>
        <w:t>抗菌肽与 AD 关联机制说明</w:t>
      </w:r>
    </w:p>
    <w:p>
      <w:pPr>
        <w:spacing w:before="0" w:after="480" w:line="324" w:lineRule="auto"/>
        <w:jc w:val="center"/>
      </w:pPr>
      <w:r>
        <w:rPr>
          <w:rFonts w:ascii="Times New Roman" w:hAnsi="Times New Roman" w:eastAsia="微软雅黑"/>
          <w:b w:val="0"/>
          <w:i w:val="0"/>
          <w:color w:val="555555"/>
          <w:sz w:val="26"/>
        </w:rPr>
        <w:t>中期检查补充材料·八问整合版·深度学习差异肽衔接</w:t>
      </w:r>
    </w:p>
    <w:p>
      <w:pPr>
        <w:spacing w:before="0" w:after="600" w:line="324" w:lineRule="auto"/>
        <w:jc w:val="center"/>
      </w:pPr>
      <w:r>
        <w:rPr>
          <w:rFonts w:ascii="Times New Roman" w:hAnsi="Times New Roman" w:eastAsia="微软雅黑"/>
          <w:b/>
          <w:i w:val="0"/>
          <w:color w:val="1F2937"/>
          <w:sz w:val="24"/>
        </w:rPr>
        <w:t>主对象是 AD 相关差异微生物源 AMP；Aβ/AChE/BBB 是高优先级候选的条件性机制验证</w:t>
      </w:r>
    </w:p>
    <w:p>
      <w:pPr>
        <w:spacing w:before="0" w:after="60" w:line="324" w:lineRule="auto"/>
        <w:jc w:val="center"/>
      </w:pPr>
      <w:r>
        <w:rPr>
          <w:rFonts w:ascii="Times New Roman" w:hAnsi="Times New Roman" w:eastAsia="微软雅黑"/>
          <w:b w:val="0"/>
          <w:i w:val="0"/>
          <w:color w:val="555555"/>
          <w:sz w:val="21"/>
        </w:rPr>
        <w:t>文绍华　2024110316　｜　指导教师：申亮　｜　生命科学学院</w:t>
      </w:r>
    </w:p>
    <w:p>
      <w:pPr>
        <w:spacing w:before="0" w:after="60" w:line="324" w:lineRule="auto"/>
        <w:jc w:val="center"/>
      </w:pPr>
      <w:r>
        <w:rPr>
          <w:rFonts w:ascii="Times New Roman" w:hAnsi="Times New Roman" w:eastAsia="微软雅黑"/>
          <w:b w:val="0"/>
          <w:i w:val="0"/>
          <w:color w:val="555555"/>
          <w:sz w:val="21"/>
        </w:rPr>
        <w:t>生成时间：2026-09-26 10:34 北京时间</w:t>
      </w:r>
    </w:p>
    <w:p>
      <w:pPr>
        <w:spacing w:before="0" w:after="60" w:line="324" w:lineRule="auto"/>
        <w:jc w:val="center"/>
      </w:pPr>
      <w:r>
        <w:rPr>
          <w:rFonts w:ascii="Times New Roman" w:hAnsi="Times New Roman" w:eastAsia="微软雅黑"/>
          <w:b w:val="0"/>
          <w:i w:val="0"/>
          <w:color w:val="555555"/>
          <w:sz w:val="21"/>
        </w:rPr>
        <w:t>对应课题：基于深度学习的阿尔茨海默症患者与健康人群肠道微生物组中抗菌肽的差异性研究</w:t>
      </w:r>
    </w:p>
    <w:p>
      <w:pPr>
        <w:spacing w:before="0" w:after="60" w:line="324" w:lineRule="auto"/>
        <w:jc w:val="center"/>
      </w:pPr>
      <w:r>
        <w:rPr>
          <w:rFonts w:ascii="Times New Roman" w:hAnsi="Times New Roman" w:eastAsia="微软雅黑"/>
          <w:b w:val="0"/>
          <w:i w:val="0"/>
          <w:color w:val="555555"/>
          <w:sz w:val="21"/>
        </w:rPr>
        <w:t>证据口径：宿主 AMP/Aβ 背景、微生物源 AMP 差异、本课题计算结果、因果验证严格分层</w:t>
      </w:r>
    </w:p>
    <w:p>
      <w:pPr>
        <w:spacing w:before="0" w:after="60" w:line="324" w:lineRule="auto"/>
        <w:jc w:val="center"/>
      </w:pPr>
      <w:r>
        <w:rPr>
          <w:rFonts w:ascii="Times New Roman" w:hAnsi="Times New Roman" w:eastAsia="微软雅黑"/>
          <w:b w:val="0"/>
          <w:i w:val="0"/>
          <w:color w:val="555555"/>
          <w:sz w:val="21"/>
        </w:rPr>
        <w:t>当前没有实际候选 FASTA/丰度矩阵/FDR 表；候选机制卡片仅提供真实结果的填写框架</w:t>
      </w:r>
    </w:p>
    <w:p>
      <w:r>
        <w:br w:type="page"/>
      </w:r>
    </w:p>
    <w:p>
      <w:pPr>
        <w:spacing w:before="0" w:after="240" w:line="324" w:lineRule="auto"/>
        <w:jc w:val="center"/>
      </w:pPr>
      <w:r>
        <w:rPr>
          <w:rFonts w:ascii="Times New Roman" w:hAnsi="Times New Roman" w:eastAsia="微软雅黑"/>
          <w:b/>
          <w:i w:val="0"/>
          <w:color w:val="10305A"/>
          <w:sz w:val="32"/>
        </w:rPr>
        <w:t>目　录</w:t>
      </w:r>
    </w:p>
    <w:p>
      <w:pPr>
        <w:spacing w:before="0" w:after="40" w:line="324" w:lineRule="auto"/>
      </w:pPr>
      <w:r>
        <w:rPr>
          <w:rFonts w:ascii="Times New Roman" w:hAnsi="Times New Roman" w:eastAsia="微软雅黑"/>
          <w:b/>
          <w:i w:val="0"/>
          <w:color w:val="10305A"/>
          <w:sz w:val="23"/>
        </w:rPr>
        <w:t>整合说明：把“八个问题”与深度学习差异肽主线合在一起</w:t>
      </w:r>
    </w:p>
    <w:p>
      <w:pPr>
        <w:spacing w:before="0" w:after="40" w:line="324" w:lineRule="auto"/>
      </w:pPr>
      <w:r>
        <w:rPr>
          <w:rFonts w:ascii="Times New Roman" w:hAnsi="Times New Roman" w:eastAsia="微软雅黑"/>
          <w:b/>
          <w:i w:val="0"/>
          <w:color w:val="10305A"/>
          <w:sz w:val="23"/>
        </w:rPr>
        <w:t>一、逐条回答老师提出的八个问题</w:t>
      </w:r>
    </w:p>
    <w:p>
      <w:pPr>
        <w:spacing w:before="0" w:after="20" w:line="324" w:lineRule="auto"/>
      </w:pPr>
      <w:r>
        <w:rPr>
          <w:rFonts w:ascii="Times New Roman" w:hAnsi="Times New Roman" w:eastAsia="微软雅黑"/>
          <w:b w:val="0"/>
          <w:i w:val="0"/>
          <w:color w:val="555555"/>
          <w:sz w:val="21"/>
        </w:rPr>
        <w:t xml:space="preserve">　　问题 1：抗菌肽与 AD 到底有什么关联？</w:t>
      </w:r>
    </w:p>
    <w:p>
      <w:pPr>
        <w:spacing w:before="0" w:after="20" w:line="324" w:lineRule="auto"/>
      </w:pPr>
      <w:r>
        <w:rPr>
          <w:rFonts w:ascii="Times New Roman" w:hAnsi="Times New Roman" w:eastAsia="微软雅黑"/>
          <w:b w:val="0"/>
          <w:i w:val="0"/>
          <w:color w:val="555555"/>
          <w:sz w:val="21"/>
        </w:rPr>
        <w:t xml:space="preserve">　　问题 2：AD 与感染的关联，有没有病原体进入脑内？</w:t>
      </w:r>
    </w:p>
    <w:p>
      <w:pPr>
        <w:spacing w:before="0" w:after="20" w:line="324" w:lineRule="auto"/>
      </w:pPr>
      <w:r>
        <w:rPr>
          <w:rFonts w:ascii="Times New Roman" w:hAnsi="Times New Roman" w:eastAsia="微软雅黑"/>
          <w:b w:val="0"/>
          <w:i w:val="0"/>
          <w:color w:val="555555"/>
          <w:sz w:val="21"/>
        </w:rPr>
        <w:t xml:space="preserve">　　问题 3：抗菌活性为什么可以预测，有没有先例？</w:t>
      </w:r>
    </w:p>
    <w:p>
      <w:pPr>
        <w:spacing w:before="0" w:after="20" w:line="324" w:lineRule="auto"/>
      </w:pPr>
      <w:r>
        <w:rPr>
          <w:rFonts w:ascii="Times New Roman" w:hAnsi="Times New Roman" w:eastAsia="微软雅黑"/>
          <w:b w:val="0"/>
          <w:i w:val="0"/>
          <w:color w:val="555555"/>
          <w:sz w:val="21"/>
        </w:rPr>
        <w:t xml:space="preserve">　　问题 4：AD 组特有抗菌肽为什么能与 AD 关联？</w:t>
      </w:r>
    </w:p>
    <w:p>
      <w:pPr>
        <w:spacing w:before="0" w:after="20" w:line="324" w:lineRule="auto"/>
      </w:pPr>
      <w:r>
        <w:rPr>
          <w:rFonts w:ascii="Times New Roman" w:hAnsi="Times New Roman" w:eastAsia="微软雅黑"/>
          <w:b w:val="0"/>
          <w:i w:val="0"/>
          <w:color w:val="555555"/>
          <w:sz w:val="21"/>
        </w:rPr>
        <w:t xml:space="preserve">　　问题 5：抗菌肽是促进 AD，还是抑制感染？</w:t>
      </w:r>
    </w:p>
    <w:p>
      <w:pPr>
        <w:spacing w:before="0" w:after="20" w:line="324" w:lineRule="auto"/>
      </w:pPr>
      <w:r>
        <w:rPr>
          <w:rFonts w:ascii="Times New Roman" w:hAnsi="Times New Roman" w:eastAsia="微软雅黑"/>
          <w:b w:val="0"/>
          <w:i w:val="0"/>
          <w:color w:val="555555"/>
          <w:sz w:val="21"/>
        </w:rPr>
        <w:t xml:space="preserve">　　问题 6：抑制感染这一侧有哪些证据？</w:t>
      </w:r>
    </w:p>
    <w:p>
      <w:pPr>
        <w:spacing w:before="0" w:after="20" w:line="324" w:lineRule="auto"/>
      </w:pPr>
      <w:r>
        <w:rPr>
          <w:rFonts w:ascii="Times New Roman" w:hAnsi="Times New Roman" w:eastAsia="微软雅黑"/>
          <w:b w:val="0"/>
          <w:i w:val="0"/>
          <w:color w:val="555555"/>
          <w:sz w:val="21"/>
        </w:rPr>
        <w:t xml:space="preserve">　　问题 7：为什么 AD 组可能更多，和炎症是什么关系？</w:t>
      </w:r>
    </w:p>
    <w:p>
      <w:pPr>
        <w:spacing w:before="0" w:after="20" w:line="324" w:lineRule="auto"/>
      </w:pPr>
      <w:r>
        <w:rPr>
          <w:rFonts w:ascii="Times New Roman" w:hAnsi="Times New Roman" w:eastAsia="微软雅黑"/>
          <w:b w:val="0"/>
          <w:i w:val="0"/>
          <w:color w:val="555555"/>
          <w:sz w:val="21"/>
        </w:rPr>
        <w:t xml:space="preserve">　　问题 8：正常人与 AD，谁的抗菌肽更多？</w:t>
      </w:r>
    </w:p>
    <w:p>
      <w:pPr>
        <w:spacing w:before="0" w:after="40" w:line="324" w:lineRule="auto"/>
      </w:pPr>
      <w:r>
        <w:rPr>
          <w:rFonts w:ascii="Times New Roman" w:hAnsi="Times New Roman" w:eastAsia="微软雅黑"/>
          <w:b/>
          <w:i w:val="0"/>
          <w:color w:val="10305A"/>
          <w:sz w:val="23"/>
        </w:rPr>
        <w:t>二、分子机制一：AChE-Aβ 复合物为什么可作为计算参照</w:t>
      </w:r>
    </w:p>
    <w:p>
      <w:pPr>
        <w:spacing w:before="0" w:after="40" w:line="324" w:lineRule="auto"/>
      </w:pPr>
      <w:r>
        <w:rPr>
          <w:rFonts w:ascii="Times New Roman" w:hAnsi="Times New Roman" w:eastAsia="微软雅黑"/>
          <w:b/>
          <w:i w:val="0"/>
          <w:color w:val="10305A"/>
          <w:sz w:val="23"/>
        </w:rPr>
        <w:t>三、分子机制二：抗菌肽与 Aβ 的交叉成核</w:t>
      </w:r>
    </w:p>
    <w:p>
      <w:pPr>
        <w:spacing w:before="0" w:after="40" w:line="324" w:lineRule="auto"/>
      </w:pPr>
      <w:r>
        <w:rPr>
          <w:rFonts w:ascii="Times New Roman" w:hAnsi="Times New Roman" w:eastAsia="微软雅黑"/>
          <w:b/>
          <w:i w:val="0"/>
          <w:color w:val="10305A"/>
          <w:sz w:val="23"/>
        </w:rPr>
        <w:t>四、分阶段组与本课题的深度学习分析</w:t>
      </w:r>
    </w:p>
    <w:p>
      <w:pPr>
        <w:spacing w:before="0" w:after="20" w:line="324" w:lineRule="auto"/>
      </w:pPr>
      <w:r>
        <w:rPr>
          <w:rFonts w:ascii="Times New Roman" w:hAnsi="Times New Roman" w:eastAsia="微软雅黑"/>
          <w:b w:val="0"/>
          <w:i w:val="0"/>
          <w:color w:val="555555"/>
          <w:sz w:val="21"/>
        </w:rPr>
        <w:t xml:space="preserve">　　4.1 与论文题目完全对应的八步技术路线</w:t>
      </w:r>
    </w:p>
    <w:p>
      <w:pPr>
        <w:spacing w:before="0" w:after="40" w:line="324" w:lineRule="auto"/>
      </w:pPr>
      <w:r>
        <w:rPr>
          <w:rFonts w:ascii="Times New Roman" w:hAnsi="Times New Roman" w:eastAsia="微软雅黑"/>
          <w:b/>
          <w:i w:val="0"/>
          <w:color w:val="10305A"/>
          <w:sz w:val="23"/>
        </w:rPr>
        <w:t>五、候选肽到底应该怎样分类</w:t>
      </w:r>
    </w:p>
    <w:p>
      <w:pPr>
        <w:spacing w:before="0" w:after="20" w:line="324" w:lineRule="auto"/>
      </w:pPr>
      <w:r>
        <w:rPr>
          <w:rFonts w:ascii="Times New Roman" w:hAnsi="Times New Roman" w:eastAsia="微软雅黑"/>
          <w:b w:val="0"/>
          <w:i w:val="0"/>
          <w:color w:val="555555"/>
          <w:sz w:val="21"/>
        </w:rPr>
        <w:t xml:space="preserve">　　5.1 机制优先级评分</w:t>
      </w:r>
    </w:p>
    <w:p>
      <w:pPr>
        <w:spacing w:before="0" w:after="40" w:line="324" w:lineRule="auto"/>
      </w:pPr>
      <w:r>
        <w:rPr>
          <w:rFonts w:ascii="Times New Roman" w:hAnsi="Times New Roman" w:eastAsia="微软雅黑"/>
          <w:b/>
          <w:i w:val="0"/>
          <w:color w:val="10305A"/>
          <w:sz w:val="23"/>
        </w:rPr>
        <w:t>六、分子动力学与量化计算如何排优先级</w:t>
      </w:r>
    </w:p>
    <w:p>
      <w:pPr>
        <w:spacing w:before="0" w:after="40" w:line="324" w:lineRule="auto"/>
      </w:pPr>
      <w:r>
        <w:rPr>
          <w:rFonts w:ascii="Times New Roman" w:hAnsi="Times New Roman" w:eastAsia="微软雅黑"/>
          <w:b/>
          <w:i w:val="0"/>
          <w:color w:val="10305A"/>
          <w:sz w:val="23"/>
        </w:rPr>
        <w:t>七、目前可以给出的结果、还不能给出的结果</w:t>
      </w:r>
    </w:p>
    <w:p>
      <w:pPr>
        <w:spacing w:before="0" w:after="40" w:line="324" w:lineRule="auto"/>
      </w:pPr>
      <w:r>
        <w:rPr>
          <w:rFonts w:ascii="Times New Roman" w:hAnsi="Times New Roman" w:eastAsia="微软雅黑"/>
          <w:b/>
          <w:i w:val="0"/>
          <w:color w:val="10305A"/>
          <w:sz w:val="23"/>
        </w:rPr>
        <w:t>八、分子机制与阶段证据的整合解释</w:t>
      </w:r>
    </w:p>
    <w:p>
      <w:pPr>
        <w:spacing w:before="0" w:after="40" w:line="324" w:lineRule="auto"/>
      </w:pPr>
      <w:r>
        <w:rPr>
          <w:rFonts w:ascii="Times New Roman" w:hAnsi="Times New Roman" w:eastAsia="微软雅黑"/>
          <w:b/>
          <w:i w:val="0"/>
          <w:color w:val="10305A"/>
          <w:sz w:val="23"/>
        </w:rPr>
        <w:t>九、汇报口径和老师追问的回答</w:t>
      </w:r>
    </w:p>
    <w:p>
      <w:pPr>
        <w:spacing w:before="0" w:after="40" w:line="324" w:lineRule="auto"/>
      </w:pPr>
      <w:r>
        <w:rPr>
          <w:rFonts w:ascii="Times New Roman" w:hAnsi="Times New Roman" w:eastAsia="微软雅黑"/>
          <w:b/>
          <w:i w:val="0"/>
          <w:color w:val="10305A"/>
          <w:sz w:val="23"/>
        </w:rPr>
        <w:t>十、最终研究闭环与验证计划</w:t>
      </w:r>
    </w:p>
    <w:p>
      <w:pPr>
        <w:spacing w:before="0" w:after="40" w:line="324" w:lineRule="auto"/>
      </w:pPr>
      <w:r>
        <w:rPr>
          <w:rFonts w:ascii="Times New Roman" w:hAnsi="Times New Roman" w:eastAsia="微软雅黑"/>
          <w:b/>
          <w:i w:val="0"/>
          <w:color w:val="10305A"/>
          <w:sz w:val="23"/>
        </w:rPr>
        <w:t>附录：文献使用说明</w:t>
      </w:r>
    </w:p>
    <w:p>
      <w:pPr>
        <w:spacing w:before="120" w:after="120" w:line="324" w:lineRule="auto"/>
      </w:pPr>
      <w:r>
        <w:rPr>
          <w:rFonts w:ascii="Times New Roman" w:hAnsi="Times New Roman" w:eastAsia="微软雅黑"/>
          <w:b/>
          <w:i w:val="0"/>
          <w:color w:val="10305A"/>
          <w:sz w:val="23"/>
        </w:rPr>
        <w:t>参考文献　（共 73 条，按正文首次出现顺序编号）</w:t>
      </w:r>
    </w:p>
    <w:p>
      <w:r>
        <w:br w:type="page"/>
      </w:r>
    </w:p>
    <w:p>
      <w:pPr>
        <w:spacing w:before="320" w:after="160" w:line="288" w:lineRule="auto"/>
      </w:pPr>
      <w:r>
        <w:rPr>
          <w:rFonts w:ascii="Times New Roman" w:hAnsi="Times New Roman" w:eastAsia="微软雅黑"/>
          <w:b/>
          <w:i w:val="0"/>
          <w:color w:val="10305A"/>
          <w:sz w:val="34"/>
        </w:rPr>
        <w:t>整合说明：把“八个问题”与深度学习差异肽主线合在一起</w:t>
      </w:r>
    </w:p>
    <w:p>
      <w:pPr>
        <w:spacing w:before="0" w:after="120" w:line="336" w:lineRule="auto"/>
        <w:ind w:firstLine="440"/>
      </w:pPr>
      <w:r>
        <w:rPr>
          <w:rFonts w:ascii="Times New Roman" w:hAnsi="Times New Roman" w:eastAsia="宋体"/>
          <w:b w:val="0"/>
          <w:i w:val="0"/>
          <w:color w:val="1F2937"/>
          <w:sz w:val="22"/>
        </w:rPr>
        <w:t>本材料把中期检查补充材料的八个问题、AChE-Aβ 分子动力学依据、感染与肠道菌群证据，以及上一版对“差异肽不是自动等于致病肽”的纠偏合并。全文始终区分四类对象：宿主 AMP、Aβ、微生物基因组编码的 AMP、以及用于治疗的抑制性肽。你的研究主对象是第三类；前两类提供病理背景和机制模板，第四类只是候选功能方向。</w:t>
      </w:r>
    </w:p>
    <w:p>
      <w:pPr>
        <w:spacing w:before="0" w:after="120" w:line="336" w:lineRule="auto"/>
        <w:ind w:firstLine="440"/>
      </w:pPr>
      <w:r>
        <w:rPr>
          <w:rFonts w:ascii="Times New Roman" w:hAnsi="Times New Roman" w:eastAsia="宋体"/>
          <w:b w:val="0"/>
          <w:i w:val="0"/>
          <w:color w:val="1F2937"/>
          <w:sz w:val="22"/>
        </w:rPr>
        <w:t>修正版的一句话结论是：AD 相关的肠道菌群和屏障炎症变化，可能改变微生物源抗菌肽的组成与暴露；这些差异肽再通过菌群竞争、LPS/SCFA、肠屏障和免疫信号与 AD 病理建立关联。部分候选可能偏向风险样，部分可能偏向保护样，Aβ 或 AChE-PAS 只是高优先级候选的条件性分子验证，不是所有候选肽的统一结论。[1，2，3，4]</w:t>
      </w:r>
    </w:p>
    <w:p>
      <w:pPr>
        <w:spacing w:before="40" w:after="120" w:line="324" w:lineRule="auto"/>
        <w:ind w:firstLine="200"/>
      </w:pPr>
      <w:r>
        <w:rPr>
          <w:rFonts w:ascii="Times New Roman" w:hAnsi="Times New Roman" w:eastAsia="楷体"/>
          <w:b w:val="0"/>
          <w:i/>
          <w:color w:val="555555"/>
          <w:sz w:val="20"/>
        </w:rPr>
        <w:t>▶ 证据纪律：文献中的宿主 AMP/Aβ 结果是背景证据；本课题的微生物源 AMP 差异和阶段特异性需要本课题数据；计算结果是候选与优先序；因果需要干预。</w:t>
      </w:r>
    </w:p>
    <w:p>
      <w:pPr>
        <w:spacing w:before="160" w:after="80" w:line="324" w:lineRule="auto"/>
      </w:pPr>
      <w:r>
        <w:rPr>
          <w:rFonts w:ascii="Times New Roman" w:hAnsi="Times New Roman" w:eastAsia="微软雅黑"/>
          <w:b/>
          <w:i w:val="0"/>
          <w:color w:val="10305A"/>
          <w:sz w:val="21"/>
        </w:rPr>
        <w:t>表 1　七环逻辑链：证据强度和本课题位置</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0305A"/>
          </w:tcPr>
          <w:p>
            <w:pPr>
              <w:jc w:val="center"/>
            </w:pPr>
            <w:r/>
            <w:r>
              <w:rPr>
                <w:rFonts w:ascii="Times New Roman" w:hAnsi="Times New Roman" w:eastAsia="微软雅黑"/>
                <w:b/>
                <w:i w:val="0"/>
                <w:color w:val="FFFFFF"/>
                <w:sz w:val="19"/>
              </w:rPr>
              <w:t>环节</w:t>
            </w:r>
          </w:p>
        </w:tc>
        <w:tc>
          <w:tcPr>
            <w:tcW w:type="dxa" w:w="2379"/>
            <w:shd w:val="clear" w:color="auto" w:fill="10305A"/>
          </w:tcPr>
          <w:p>
            <w:pPr>
              <w:jc w:val="center"/>
            </w:pPr>
            <w:r/>
            <w:r>
              <w:rPr>
                <w:rFonts w:ascii="Times New Roman" w:hAnsi="Times New Roman" w:eastAsia="微软雅黑"/>
                <w:b/>
                <w:i w:val="0"/>
                <w:color w:val="FFFFFF"/>
                <w:sz w:val="19"/>
              </w:rPr>
              <w:t>逻辑</w:t>
            </w:r>
          </w:p>
        </w:tc>
        <w:tc>
          <w:tcPr>
            <w:tcW w:type="dxa" w:w="2379"/>
            <w:shd w:val="clear" w:color="auto" w:fill="10305A"/>
          </w:tcPr>
          <w:p>
            <w:pPr>
              <w:jc w:val="center"/>
            </w:pPr>
            <w:r/>
            <w:r>
              <w:rPr>
                <w:rFonts w:ascii="Times New Roman" w:hAnsi="Times New Roman" w:eastAsia="微软雅黑"/>
                <w:b/>
                <w:i w:val="0"/>
                <w:color w:val="FFFFFF"/>
                <w:sz w:val="19"/>
              </w:rPr>
              <w:t>证据类型</w:t>
            </w:r>
          </w:p>
        </w:tc>
        <w:tc>
          <w:tcPr>
            <w:tcW w:type="dxa" w:w="2379"/>
            <w:shd w:val="clear" w:color="auto" w:fill="10305A"/>
          </w:tcPr>
          <w:p>
            <w:pPr>
              <w:jc w:val="center"/>
            </w:pPr>
            <w:r/>
            <w:r>
              <w:rPr>
                <w:rFonts w:ascii="Times New Roman" w:hAnsi="Times New Roman" w:eastAsia="微软雅黑"/>
                <w:b/>
                <w:i w:val="0"/>
                <w:color w:val="FFFFFF"/>
                <w:sz w:val="19"/>
              </w:rPr>
              <w:t>本课题能回答什么</w:t>
            </w:r>
          </w:p>
        </w:tc>
      </w:tr>
      <w:tr>
        <w:tc>
          <w:tcPr>
            <w:tcW w:type="dxa" w:w="2379"/>
          </w:tcPr>
          <w:p>
            <w:pPr>
              <w:spacing w:after="40" w:line="276" w:lineRule="auto"/>
            </w:pPr>
            <w:r/>
            <w:r>
              <w:rPr>
                <w:rFonts w:ascii="Times New Roman" w:hAnsi="Times New Roman" w:eastAsia="宋体"/>
                <w:b w:val="0"/>
                <w:i w:val="0"/>
                <w:color w:val="1F2937"/>
                <w:sz w:val="19"/>
              </w:rPr>
              <w:t>1 AD 与感染/炎症相关</w:t>
            </w:r>
          </w:p>
        </w:tc>
        <w:tc>
          <w:tcPr>
            <w:tcW w:type="dxa" w:w="2379"/>
          </w:tcPr>
          <w:p>
            <w:pPr>
              <w:spacing w:after="40" w:line="276" w:lineRule="auto"/>
            </w:pPr>
            <w:r/>
            <w:r>
              <w:rPr>
                <w:rFonts w:ascii="Times New Roman" w:hAnsi="Times New Roman" w:eastAsia="宋体"/>
                <w:b w:val="0"/>
                <w:i w:val="0"/>
                <w:color w:val="1F2937"/>
                <w:sz w:val="19"/>
              </w:rPr>
              <w:t>感染、LPS、炎症信号与 AD 病理共现</w:t>
            </w:r>
          </w:p>
        </w:tc>
        <w:tc>
          <w:tcPr>
            <w:tcW w:type="dxa" w:w="2379"/>
          </w:tcPr>
          <w:p>
            <w:pPr>
              <w:spacing w:after="40" w:line="276" w:lineRule="auto"/>
            </w:pPr>
            <w:r/>
            <w:r>
              <w:rPr>
                <w:rFonts w:ascii="Times New Roman" w:hAnsi="Times New Roman" w:eastAsia="宋体"/>
                <w:b w:val="0"/>
                <w:i w:val="0"/>
                <w:color w:val="1F2937"/>
                <w:sz w:val="19"/>
              </w:rPr>
              <w:t>人群、组织、动物和综述证据</w:t>
            </w:r>
          </w:p>
        </w:tc>
        <w:tc>
          <w:tcPr>
            <w:tcW w:type="dxa" w:w="2379"/>
          </w:tcPr>
          <w:p>
            <w:pPr>
              <w:spacing w:after="40" w:line="276" w:lineRule="auto"/>
            </w:pPr>
            <w:r/>
            <w:r>
              <w:rPr>
                <w:rFonts w:ascii="Times New Roman" w:hAnsi="Times New Roman" w:eastAsia="宋体"/>
                <w:b w:val="0"/>
                <w:i w:val="0"/>
                <w:color w:val="1F2937"/>
                <w:sz w:val="19"/>
              </w:rPr>
              <w:t>不能由 AMP 预测单独证明</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2 宿主 Aβ/AMP 是先天免疫效应分子</w:t>
            </w:r>
          </w:p>
        </w:tc>
        <w:tc>
          <w:tcPr>
            <w:tcW w:type="dxa" w:w="2379"/>
            <w:shd w:val="clear" w:color="auto" w:fill="F2F5F9"/>
          </w:tcPr>
          <w:p>
            <w:pPr>
              <w:spacing w:after="40" w:line="276" w:lineRule="auto"/>
            </w:pPr>
            <w:r/>
            <w:r>
              <w:rPr>
                <w:rFonts w:ascii="Times New Roman" w:hAnsi="Times New Roman" w:eastAsia="宋体"/>
                <w:b w:val="0"/>
                <w:i w:val="0"/>
                <w:color w:val="1F2937"/>
                <w:sz w:val="19"/>
              </w:rPr>
              <w:t>Aβ、LL-37、防御素等具有抗感染和免疫调节属性</w:t>
            </w:r>
          </w:p>
        </w:tc>
        <w:tc>
          <w:tcPr>
            <w:tcW w:type="dxa" w:w="2379"/>
            <w:shd w:val="clear" w:color="auto" w:fill="F2F5F9"/>
          </w:tcPr>
          <w:p>
            <w:pPr>
              <w:spacing w:after="40" w:line="276" w:lineRule="auto"/>
            </w:pPr>
            <w:r/>
            <w:r>
              <w:rPr>
                <w:rFonts w:ascii="Times New Roman" w:hAnsi="Times New Roman" w:eastAsia="宋体"/>
                <w:b w:val="0"/>
                <w:i w:val="0"/>
                <w:color w:val="1F2937"/>
                <w:sz w:val="19"/>
              </w:rPr>
              <w:t>体外、组织和动物证据</w:t>
            </w:r>
          </w:p>
        </w:tc>
        <w:tc>
          <w:tcPr>
            <w:tcW w:type="dxa" w:w="2379"/>
            <w:shd w:val="clear" w:color="auto" w:fill="F2F5F9"/>
          </w:tcPr>
          <w:p>
            <w:pPr>
              <w:spacing w:after="40" w:line="276" w:lineRule="auto"/>
            </w:pPr>
            <w:r/>
            <w:r>
              <w:rPr>
                <w:rFonts w:ascii="Times New Roman" w:hAnsi="Times New Roman" w:eastAsia="宋体"/>
                <w:b w:val="0"/>
                <w:i w:val="0"/>
                <w:color w:val="1F2937"/>
                <w:sz w:val="19"/>
              </w:rPr>
              <w:t>提供病理背景，不等于微生物 AMP</w:t>
            </w:r>
          </w:p>
        </w:tc>
      </w:tr>
      <w:tr>
        <w:tc>
          <w:tcPr>
            <w:tcW w:type="dxa" w:w="2379"/>
          </w:tcPr>
          <w:p>
            <w:pPr>
              <w:spacing w:after="40" w:line="276" w:lineRule="auto"/>
            </w:pPr>
            <w:r/>
            <w:r>
              <w:rPr>
                <w:rFonts w:ascii="Times New Roman" w:hAnsi="Times New Roman" w:eastAsia="宋体"/>
                <w:b w:val="0"/>
                <w:i w:val="0"/>
                <w:color w:val="1F2937"/>
                <w:sz w:val="19"/>
              </w:rPr>
              <w:t>3 肠道菌群/屏障改变</w:t>
            </w:r>
          </w:p>
        </w:tc>
        <w:tc>
          <w:tcPr>
            <w:tcW w:type="dxa" w:w="2379"/>
          </w:tcPr>
          <w:p>
            <w:pPr>
              <w:spacing w:after="40" w:line="276" w:lineRule="auto"/>
            </w:pPr>
            <w:r/>
            <w:r>
              <w:rPr>
                <w:rFonts w:ascii="Times New Roman" w:hAnsi="Times New Roman" w:eastAsia="宋体"/>
                <w:b w:val="0"/>
                <w:i w:val="0"/>
                <w:color w:val="1F2937"/>
                <w:sz w:val="19"/>
              </w:rPr>
              <w:t>肠漏、LPS、SCFA 和菌群网络连接肠与脑</w:t>
            </w:r>
          </w:p>
        </w:tc>
        <w:tc>
          <w:tcPr>
            <w:tcW w:type="dxa" w:w="2379"/>
          </w:tcPr>
          <w:p>
            <w:pPr>
              <w:spacing w:after="40" w:line="276" w:lineRule="auto"/>
            </w:pPr>
            <w:r/>
            <w:r>
              <w:rPr>
                <w:rFonts w:ascii="Times New Roman" w:hAnsi="Times New Roman" w:eastAsia="宋体"/>
                <w:b w:val="0"/>
                <w:i w:val="0"/>
                <w:color w:val="1F2937"/>
                <w:sz w:val="19"/>
              </w:rPr>
              <w:t>队列、动物和中介线索</w:t>
            </w:r>
          </w:p>
        </w:tc>
        <w:tc>
          <w:tcPr>
            <w:tcW w:type="dxa" w:w="2379"/>
          </w:tcPr>
          <w:p>
            <w:pPr>
              <w:spacing w:after="40" w:line="276" w:lineRule="auto"/>
            </w:pPr>
            <w:r/>
            <w:r>
              <w:rPr>
                <w:rFonts w:ascii="Times New Roman" w:hAnsi="Times New Roman" w:eastAsia="宋体"/>
                <w:b w:val="0"/>
                <w:i w:val="0"/>
                <w:color w:val="1F2937"/>
                <w:sz w:val="19"/>
              </w:rPr>
              <w:t>为微生物源 AMP 提供上游环境</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4 宏基因组产生短肽库</w:t>
            </w:r>
          </w:p>
        </w:tc>
        <w:tc>
          <w:tcPr>
            <w:tcW w:type="dxa" w:w="2379"/>
            <w:shd w:val="clear" w:color="auto" w:fill="F2F5F9"/>
          </w:tcPr>
          <w:p>
            <w:pPr>
              <w:spacing w:after="40" w:line="276" w:lineRule="auto"/>
            </w:pPr>
            <w:r/>
            <w:r>
              <w:rPr>
                <w:rFonts w:ascii="Times New Roman" w:hAnsi="Times New Roman" w:eastAsia="宋体"/>
                <w:b w:val="0"/>
                <w:i w:val="0"/>
                <w:color w:val="1F2937"/>
                <w:sz w:val="19"/>
              </w:rPr>
              <w:t>ORF 翻译得到大量候选短肽</w:t>
            </w:r>
          </w:p>
        </w:tc>
        <w:tc>
          <w:tcPr>
            <w:tcW w:type="dxa" w:w="2379"/>
            <w:shd w:val="clear" w:color="auto" w:fill="F2F5F9"/>
          </w:tcPr>
          <w:p>
            <w:pPr>
              <w:spacing w:after="40" w:line="276" w:lineRule="auto"/>
            </w:pPr>
            <w:r/>
            <w:r>
              <w:rPr>
                <w:rFonts w:ascii="Times New Roman" w:hAnsi="Times New Roman" w:eastAsia="宋体"/>
                <w:b w:val="0"/>
                <w:i w:val="0"/>
                <w:color w:val="1F2937"/>
                <w:sz w:val="19"/>
              </w:rPr>
              <w:t>计算方法</w:t>
            </w:r>
          </w:p>
        </w:tc>
        <w:tc>
          <w:tcPr>
            <w:tcW w:type="dxa" w:w="2379"/>
            <w:shd w:val="clear" w:color="auto" w:fill="F2F5F9"/>
          </w:tcPr>
          <w:p>
            <w:pPr>
              <w:spacing w:after="40" w:line="276" w:lineRule="auto"/>
            </w:pPr>
            <w:r/>
            <w:r>
              <w:rPr>
                <w:rFonts w:ascii="Times New Roman" w:hAnsi="Times New Roman" w:eastAsia="宋体"/>
                <w:b w:val="0"/>
                <w:i w:val="0"/>
                <w:color w:val="1F2937"/>
                <w:sz w:val="19"/>
              </w:rPr>
              <w:t>可复现地建立候选全集</w:t>
            </w:r>
          </w:p>
        </w:tc>
      </w:tr>
      <w:tr>
        <w:tc>
          <w:tcPr>
            <w:tcW w:type="dxa" w:w="2379"/>
          </w:tcPr>
          <w:p>
            <w:pPr>
              <w:spacing w:after="40" w:line="276" w:lineRule="auto"/>
            </w:pPr>
            <w:r/>
            <w:r>
              <w:rPr>
                <w:rFonts w:ascii="Times New Roman" w:hAnsi="Times New Roman" w:eastAsia="宋体"/>
                <w:b w:val="0"/>
                <w:i w:val="0"/>
                <w:color w:val="1F2937"/>
                <w:sz w:val="19"/>
              </w:rPr>
              <w:t>5 深度学习筛 AMP</w:t>
            </w:r>
          </w:p>
        </w:tc>
        <w:tc>
          <w:tcPr>
            <w:tcW w:type="dxa" w:w="2379"/>
          </w:tcPr>
          <w:p>
            <w:pPr>
              <w:spacing w:after="40" w:line="276" w:lineRule="auto"/>
            </w:pPr>
            <w:r/>
            <w:r>
              <w:rPr>
                <w:rFonts w:ascii="Times New Roman" w:hAnsi="Times New Roman" w:eastAsia="宋体"/>
                <w:b w:val="0"/>
                <w:i w:val="0"/>
                <w:color w:val="1F2937"/>
                <w:sz w:val="19"/>
              </w:rPr>
              <w:t>Attention/LSTM/BERT 预测 AMP 特征</w:t>
            </w:r>
          </w:p>
        </w:tc>
        <w:tc>
          <w:tcPr>
            <w:tcW w:type="dxa" w:w="2379"/>
          </w:tcPr>
          <w:p>
            <w:pPr>
              <w:spacing w:after="40" w:line="276" w:lineRule="auto"/>
            </w:pPr>
            <w:r/>
            <w:r>
              <w:rPr>
                <w:rFonts w:ascii="Times New Roman" w:hAnsi="Times New Roman" w:eastAsia="宋体"/>
                <w:b w:val="0"/>
                <w:i w:val="0"/>
                <w:color w:val="1F2937"/>
                <w:sz w:val="19"/>
              </w:rPr>
              <w:t>模型和活性验证先例</w:t>
            </w:r>
          </w:p>
        </w:tc>
        <w:tc>
          <w:tcPr>
            <w:tcW w:type="dxa" w:w="2379"/>
          </w:tcPr>
          <w:p>
            <w:pPr>
              <w:spacing w:after="40" w:line="276" w:lineRule="auto"/>
            </w:pPr>
            <w:r/>
            <w:r>
              <w:rPr>
                <w:rFonts w:ascii="Times New Roman" w:hAnsi="Times New Roman" w:eastAsia="宋体"/>
                <w:b w:val="0"/>
                <w:i w:val="0"/>
                <w:color w:val="1F2937"/>
                <w:sz w:val="19"/>
              </w:rPr>
              <w:t>缩小候选空间，不判定 AD</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6 AD/健康差异与阶段特异</w:t>
            </w:r>
          </w:p>
        </w:tc>
        <w:tc>
          <w:tcPr>
            <w:tcW w:type="dxa" w:w="2379"/>
            <w:shd w:val="clear" w:color="auto" w:fill="F2F5F9"/>
          </w:tcPr>
          <w:p>
            <w:pPr>
              <w:spacing w:after="40" w:line="276" w:lineRule="auto"/>
            </w:pPr>
            <w:r/>
            <w:r>
              <w:rPr>
                <w:rFonts w:ascii="Times New Roman" w:hAnsi="Times New Roman" w:eastAsia="宋体"/>
                <w:b w:val="0"/>
                <w:i w:val="0"/>
                <w:color w:val="1F2937"/>
                <w:sz w:val="19"/>
              </w:rPr>
              <w:t>不同阶段菌群编码肽的组成可能不同</w:t>
            </w:r>
          </w:p>
        </w:tc>
        <w:tc>
          <w:tcPr>
            <w:tcW w:type="dxa" w:w="2379"/>
            <w:shd w:val="clear" w:color="auto" w:fill="F2F5F9"/>
          </w:tcPr>
          <w:p>
            <w:pPr>
              <w:spacing w:after="40" w:line="276" w:lineRule="auto"/>
            </w:pPr>
            <w:r/>
            <w:r>
              <w:rPr>
                <w:rFonts w:ascii="Times New Roman" w:hAnsi="Times New Roman" w:eastAsia="宋体"/>
                <w:b w:val="0"/>
                <w:i w:val="0"/>
                <w:color w:val="1F2937"/>
                <w:sz w:val="19"/>
              </w:rPr>
              <w:t>本课题核心分析</w:t>
            </w:r>
          </w:p>
        </w:tc>
        <w:tc>
          <w:tcPr>
            <w:tcW w:type="dxa" w:w="2379"/>
            <w:shd w:val="clear" w:color="auto" w:fill="F2F5F9"/>
          </w:tcPr>
          <w:p>
            <w:pPr>
              <w:spacing w:after="40" w:line="276" w:lineRule="auto"/>
            </w:pPr>
            <w:r/>
            <w:r>
              <w:rPr>
                <w:rFonts w:ascii="Times New Roman" w:hAnsi="Times New Roman" w:eastAsia="宋体"/>
                <w:b w:val="0"/>
                <w:i w:val="0"/>
                <w:color w:val="1F2937"/>
                <w:sz w:val="19"/>
              </w:rPr>
              <w:t>筛选 AD 相关差异候选</w:t>
            </w:r>
          </w:p>
        </w:tc>
      </w:tr>
      <w:tr>
        <w:tc>
          <w:tcPr>
            <w:tcW w:type="dxa" w:w="2379"/>
          </w:tcPr>
          <w:p>
            <w:pPr>
              <w:spacing w:after="40" w:line="276" w:lineRule="auto"/>
            </w:pPr>
            <w:r/>
            <w:r>
              <w:rPr>
                <w:rFonts w:ascii="Times New Roman" w:hAnsi="Times New Roman" w:eastAsia="宋体"/>
                <w:b w:val="0"/>
                <w:i w:val="0"/>
                <w:color w:val="1F2937"/>
                <w:sz w:val="19"/>
              </w:rPr>
              <w:t>7 病理方向与因果</w:t>
            </w:r>
          </w:p>
        </w:tc>
        <w:tc>
          <w:tcPr>
            <w:tcW w:type="dxa" w:w="2379"/>
          </w:tcPr>
          <w:p>
            <w:pPr>
              <w:spacing w:after="40" w:line="276" w:lineRule="auto"/>
            </w:pPr>
            <w:r/>
            <w:r>
              <w:rPr>
                <w:rFonts w:ascii="Times New Roman" w:hAnsi="Times New Roman" w:eastAsia="宋体"/>
                <w:b w:val="0"/>
                <w:i w:val="0"/>
                <w:color w:val="1F2937"/>
                <w:sz w:val="19"/>
              </w:rPr>
              <w:t>风险样或保护样，最终需干预验证</w:t>
            </w:r>
          </w:p>
        </w:tc>
        <w:tc>
          <w:tcPr>
            <w:tcW w:type="dxa" w:w="2379"/>
          </w:tcPr>
          <w:p>
            <w:pPr>
              <w:spacing w:after="40" w:line="276" w:lineRule="auto"/>
            </w:pPr>
            <w:r/>
            <w:r>
              <w:rPr>
                <w:rFonts w:ascii="Times New Roman" w:hAnsi="Times New Roman" w:eastAsia="宋体"/>
                <w:b w:val="0"/>
                <w:i w:val="0"/>
                <w:color w:val="1F2937"/>
                <w:sz w:val="19"/>
              </w:rPr>
              <w:t>网络、MD/QM、细胞/动物</w:t>
            </w:r>
          </w:p>
        </w:tc>
        <w:tc>
          <w:tcPr>
            <w:tcW w:type="dxa" w:w="2379"/>
          </w:tcPr>
          <w:p>
            <w:pPr>
              <w:spacing w:after="40" w:line="276" w:lineRule="auto"/>
            </w:pPr>
            <w:r/>
            <w:r>
              <w:rPr>
                <w:rFonts w:ascii="Times New Roman" w:hAnsi="Times New Roman" w:eastAsia="宋体"/>
                <w:b w:val="0"/>
                <w:i w:val="0"/>
                <w:color w:val="1F2937"/>
                <w:sz w:val="19"/>
              </w:rPr>
              <w:t>提出优先级和可检验假设</w:t>
            </w:r>
          </w:p>
        </w:tc>
      </w:tr>
    </w:tbl>
    <w:p>
      <w:pPr>
        <w:spacing w:after="40"/>
      </w:pPr>
    </w:p>
    <w:p>
      <w:pPr>
        <w:spacing w:before="320" w:after="160" w:line="288" w:lineRule="auto"/>
      </w:pPr>
      <w:r>
        <w:rPr>
          <w:rFonts w:ascii="Times New Roman" w:hAnsi="Times New Roman" w:eastAsia="微软雅黑"/>
          <w:b/>
          <w:i w:val="0"/>
          <w:color w:val="10305A"/>
          <w:sz w:val="34"/>
        </w:rPr>
        <w:t>一、逐条回答老师提出的八个问题</w:t>
      </w:r>
    </w:p>
    <w:p>
      <w:pPr>
        <w:spacing w:before="240" w:after="100" w:line="288" w:lineRule="auto"/>
      </w:pPr>
      <w:r>
        <w:rPr>
          <w:rFonts w:ascii="Times New Roman" w:hAnsi="Times New Roman" w:eastAsia="微软雅黑"/>
          <w:b/>
          <w:i w:val="0"/>
          <w:color w:val="10305A"/>
          <w:sz w:val="27"/>
        </w:rPr>
        <w:t>问题 1：抗菌肽与 AD 到底有什么关联？</w:t>
      </w:r>
    </w:p>
    <w:p>
      <w:pPr>
        <w:spacing w:before="0" w:after="120" w:line="336" w:lineRule="auto"/>
        <w:ind w:firstLine="440"/>
      </w:pPr>
      <w:r>
        <w:rPr>
          <w:rFonts w:ascii="Times New Roman" w:hAnsi="Times New Roman" w:eastAsia="宋体"/>
          <w:b w:val="0"/>
          <w:i w:val="0"/>
          <w:color w:val="1F2937"/>
          <w:sz w:val="22"/>
        </w:rPr>
        <w:t>结论：Aβ 本身具有抗菌性质，AD 脑内还观察到 LL-37、β-防御素和 CAP37 等宿主 AMP 的表达或含量变化；你的课题进一步研究第三类，即肠道微生物基因组编码的 AMP 是否在 AD 与健康人群之间存在差异，以及这些差异能否通过肠-脑轴与病理过程建立联系。[5，6，7，8，9，10，11]</w:t>
      </w:r>
    </w:p>
    <w:p>
      <w:pPr>
        <w:pStyle w:val="ListBullet"/>
        <w:spacing w:after="60" w:line="312" w:lineRule="auto"/>
      </w:pPr>
      <w:r>
        <w:rPr>
          <w:rFonts w:ascii="Times New Roman" w:hAnsi="Times New Roman" w:eastAsia="宋体"/>
          <w:b w:val="0"/>
          <w:i w:val="0"/>
          <w:color w:val="1F2937"/>
          <w:sz w:val="21"/>
        </w:rPr>
        <w:t>Aβ 对临床相关微生物具有抗菌活性，AD 脑匀浆的总抗菌活性高于同龄对照，并且抗 Aβ 抗体清除后活性降低。</w:t>
      </w:r>
    </w:p>
    <w:p>
      <w:pPr>
        <w:pStyle w:val="ListBullet"/>
        <w:spacing w:after="60" w:line="312" w:lineRule="auto"/>
      </w:pPr>
      <w:r>
        <w:rPr>
          <w:rFonts w:ascii="Times New Roman" w:hAnsi="Times New Roman" w:eastAsia="宋体"/>
          <w:b w:val="0"/>
          <w:i w:val="0"/>
          <w:color w:val="1F2937"/>
          <w:sz w:val="21"/>
        </w:rPr>
        <w:t>宿主 AMP 的组织或体液变化可以作为先天免疫和炎症状态的背景证据，但不能直接替代微生物源 AMP 的差异结果。</w:t>
      </w:r>
    </w:p>
    <w:p>
      <w:pPr>
        <w:pStyle w:val="ListBullet"/>
        <w:spacing w:after="60" w:line="312" w:lineRule="auto"/>
      </w:pPr>
      <w:r>
        <w:rPr>
          <w:rFonts w:ascii="Times New Roman" w:hAnsi="Times New Roman" w:eastAsia="宋体"/>
          <w:b w:val="0"/>
          <w:i w:val="0"/>
          <w:color w:val="1F2937"/>
          <w:sz w:val="21"/>
        </w:rPr>
        <w:t>本课题的创新衔接是：把宿主 AMP/Aβ 的病理背景，与宏基因组中预测得到的微生物源 AMP 差异联系起来。</w:t>
      </w:r>
    </w:p>
    <w:p>
      <w:pPr>
        <w:spacing w:before="40" w:after="120" w:line="324" w:lineRule="auto"/>
        <w:ind w:firstLine="200"/>
      </w:pPr>
      <w:r>
        <w:rPr>
          <w:rFonts w:ascii="Times New Roman" w:hAnsi="Times New Roman" w:eastAsia="楷体"/>
          <w:b w:val="0"/>
          <w:i/>
          <w:color w:val="555555"/>
          <w:sz w:val="20"/>
        </w:rPr>
        <w:t>▶ 边界：宿主 AMP 与微生物源 AMP 不是同一个数据对象；在没有真实候选表前，不能写“微生物源 AMP 已在 AD 中升高”。</w:t>
      </w:r>
    </w:p>
    <w:p>
      <w:pPr>
        <w:spacing w:before="160" w:after="80" w:line="324" w:lineRule="auto"/>
      </w:pPr>
      <w:r>
        <w:rPr>
          <w:rFonts w:ascii="Times New Roman" w:hAnsi="Times New Roman" w:eastAsia="微软雅黑"/>
          <w:b/>
          <w:i w:val="0"/>
          <w:color w:val="10305A"/>
          <w:sz w:val="21"/>
        </w:rPr>
        <w:t>表 2　问题 1 的对象区分</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0305A"/>
          </w:tcPr>
          <w:p>
            <w:pPr>
              <w:jc w:val="center"/>
            </w:pPr>
            <w:r/>
            <w:r>
              <w:rPr>
                <w:rFonts w:ascii="Times New Roman" w:hAnsi="Times New Roman" w:eastAsia="微软雅黑"/>
                <w:b/>
                <w:i w:val="0"/>
                <w:color w:val="FFFFFF"/>
                <w:sz w:val="19"/>
              </w:rPr>
              <w:t>对象</w:t>
            </w:r>
          </w:p>
        </w:tc>
        <w:tc>
          <w:tcPr>
            <w:tcW w:type="dxa" w:w="2379"/>
            <w:shd w:val="clear" w:color="auto" w:fill="10305A"/>
          </w:tcPr>
          <w:p>
            <w:pPr>
              <w:jc w:val="center"/>
            </w:pPr>
            <w:r/>
            <w:r>
              <w:rPr>
                <w:rFonts w:ascii="Times New Roman" w:hAnsi="Times New Roman" w:eastAsia="微软雅黑"/>
                <w:b/>
                <w:i w:val="0"/>
                <w:color w:val="FFFFFF"/>
                <w:sz w:val="19"/>
              </w:rPr>
              <w:t>来源</w:t>
            </w:r>
          </w:p>
        </w:tc>
        <w:tc>
          <w:tcPr>
            <w:tcW w:type="dxa" w:w="2379"/>
            <w:shd w:val="clear" w:color="auto" w:fill="10305A"/>
          </w:tcPr>
          <w:p>
            <w:pPr>
              <w:jc w:val="center"/>
            </w:pPr>
            <w:r/>
            <w:r>
              <w:rPr>
                <w:rFonts w:ascii="Times New Roman" w:hAnsi="Times New Roman" w:eastAsia="微软雅黑"/>
                <w:b/>
                <w:i w:val="0"/>
                <w:color w:val="FFFFFF"/>
                <w:sz w:val="19"/>
              </w:rPr>
              <w:t>在材料中的作用</w:t>
            </w:r>
          </w:p>
        </w:tc>
        <w:tc>
          <w:tcPr>
            <w:tcW w:type="dxa" w:w="2379"/>
            <w:shd w:val="clear" w:color="auto" w:fill="10305A"/>
          </w:tcPr>
          <w:p>
            <w:pPr>
              <w:jc w:val="center"/>
            </w:pPr>
            <w:r/>
            <w:r>
              <w:rPr>
                <w:rFonts w:ascii="Times New Roman" w:hAnsi="Times New Roman" w:eastAsia="微软雅黑"/>
                <w:b/>
                <w:i w:val="0"/>
                <w:color w:val="FFFFFF"/>
                <w:sz w:val="19"/>
              </w:rPr>
              <w:t>当前证据强度</w:t>
            </w:r>
          </w:p>
        </w:tc>
      </w:tr>
      <w:tr>
        <w:tc>
          <w:tcPr>
            <w:tcW w:type="dxa" w:w="2379"/>
          </w:tcPr>
          <w:p>
            <w:pPr>
              <w:spacing w:after="40" w:line="276" w:lineRule="auto"/>
            </w:pPr>
            <w:r/>
            <w:r>
              <w:rPr>
                <w:rFonts w:ascii="Times New Roman" w:hAnsi="Times New Roman" w:eastAsia="宋体"/>
                <w:b w:val="0"/>
                <w:i w:val="0"/>
                <w:color w:val="1F2937"/>
                <w:sz w:val="19"/>
              </w:rPr>
              <w:t>Aβ</w:t>
            </w:r>
          </w:p>
        </w:tc>
        <w:tc>
          <w:tcPr>
            <w:tcW w:type="dxa" w:w="2379"/>
          </w:tcPr>
          <w:p>
            <w:pPr>
              <w:spacing w:after="40" w:line="276" w:lineRule="auto"/>
            </w:pPr>
            <w:r/>
            <w:r>
              <w:rPr>
                <w:rFonts w:ascii="Times New Roman" w:hAnsi="Times New Roman" w:eastAsia="宋体"/>
                <w:b w:val="0"/>
                <w:i w:val="0"/>
                <w:color w:val="1F2937"/>
                <w:sz w:val="19"/>
              </w:rPr>
              <w:t>宿主 APP 加工</w:t>
            </w:r>
          </w:p>
        </w:tc>
        <w:tc>
          <w:tcPr>
            <w:tcW w:type="dxa" w:w="2379"/>
          </w:tcPr>
          <w:p>
            <w:pPr>
              <w:spacing w:after="40" w:line="276" w:lineRule="auto"/>
            </w:pPr>
            <w:r/>
            <w:r>
              <w:rPr>
                <w:rFonts w:ascii="Times New Roman" w:hAnsi="Times New Roman" w:eastAsia="宋体"/>
                <w:b w:val="0"/>
                <w:i w:val="0"/>
                <w:color w:val="1F2937"/>
                <w:sz w:val="19"/>
              </w:rPr>
              <w:t>AD 病理对象，同时具有先天免疫属性</w:t>
            </w:r>
          </w:p>
        </w:tc>
        <w:tc>
          <w:tcPr>
            <w:tcW w:type="dxa" w:w="2379"/>
          </w:tcPr>
          <w:p>
            <w:pPr>
              <w:spacing w:after="40" w:line="276" w:lineRule="auto"/>
            </w:pPr>
            <w:r/>
            <w:r>
              <w:rPr>
                <w:rFonts w:ascii="Times New Roman" w:hAnsi="Times New Roman" w:eastAsia="宋体"/>
                <w:b w:val="0"/>
                <w:i w:val="0"/>
                <w:color w:val="1F2937"/>
                <w:sz w:val="19"/>
              </w:rPr>
              <w:t>相对强，但机制具有双向性</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LL-37/防御素/CAP37</w:t>
            </w:r>
          </w:p>
        </w:tc>
        <w:tc>
          <w:tcPr>
            <w:tcW w:type="dxa" w:w="2379"/>
            <w:shd w:val="clear" w:color="auto" w:fill="F2F5F9"/>
          </w:tcPr>
          <w:p>
            <w:pPr>
              <w:spacing w:after="40" w:line="276" w:lineRule="auto"/>
            </w:pPr>
            <w:r/>
            <w:r>
              <w:rPr>
                <w:rFonts w:ascii="Times New Roman" w:hAnsi="Times New Roman" w:eastAsia="宋体"/>
                <w:b w:val="0"/>
                <w:i w:val="0"/>
                <w:color w:val="1F2937"/>
                <w:sz w:val="19"/>
              </w:rPr>
              <w:t>宿主细胞</w:t>
            </w:r>
          </w:p>
        </w:tc>
        <w:tc>
          <w:tcPr>
            <w:tcW w:type="dxa" w:w="2379"/>
            <w:shd w:val="clear" w:color="auto" w:fill="F2F5F9"/>
          </w:tcPr>
          <w:p>
            <w:pPr>
              <w:spacing w:after="40" w:line="276" w:lineRule="auto"/>
            </w:pPr>
            <w:r/>
            <w:r>
              <w:rPr>
                <w:rFonts w:ascii="Times New Roman" w:hAnsi="Times New Roman" w:eastAsia="宋体"/>
                <w:b w:val="0"/>
                <w:i w:val="0"/>
                <w:color w:val="1F2937"/>
                <w:sz w:val="19"/>
              </w:rPr>
              <w:t>宿主 AMP 病理模板和炎症标志物</w:t>
            </w:r>
          </w:p>
        </w:tc>
        <w:tc>
          <w:tcPr>
            <w:tcW w:type="dxa" w:w="2379"/>
            <w:shd w:val="clear" w:color="auto" w:fill="F2F5F9"/>
          </w:tcPr>
          <w:p>
            <w:pPr>
              <w:spacing w:after="40" w:line="276" w:lineRule="auto"/>
            </w:pPr>
            <w:r/>
            <w:r>
              <w:rPr>
                <w:rFonts w:ascii="Times New Roman" w:hAnsi="Times New Roman" w:eastAsia="宋体"/>
                <w:b w:val="0"/>
                <w:i w:val="0"/>
                <w:color w:val="1F2937"/>
                <w:sz w:val="19"/>
              </w:rPr>
              <w:t>组织/体液/动物证据</w:t>
            </w:r>
          </w:p>
        </w:tc>
      </w:tr>
      <w:tr>
        <w:tc>
          <w:tcPr>
            <w:tcW w:type="dxa" w:w="2379"/>
          </w:tcPr>
          <w:p>
            <w:pPr>
              <w:spacing w:after="40" w:line="276" w:lineRule="auto"/>
            </w:pPr>
            <w:r/>
            <w:r>
              <w:rPr>
                <w:rFonts w:ascii="Times New Roman" w:hAnsi="Times New Roman" w:eastAsia="宋体"/>
                <w:b w:val="0"/>
                <w:i w:val="0"/>
                <w:color w:val="1F2937"/>
                <w:sz w:val="19"/>
              </w:rPr>
              <w:t>微生物源候选 AMP</w:t>
            </w:r>
          </w:p>
        </w:tc>
        <w:tc>
          <w:tcPr>
            <w:tcW w:type="dxa" w:w="2379"/>
          </w:tcPr>
          <w:p>
            <w:pPr>
              <w:spacing w:after="40" w:line="276" w:lineRule="auto"/>
            </w:pPr>
            <w:r/>
            <w:r>
              <w:rPr>
                <w:rFonts w:ascii="Times New Roman" w:hAnsi="Times New Roman" w:eastAsia="宋体"/>
                <w:b w:val="0"/>
                <w:i w:val="0"/>
                <w:color w:val="1F2937"/>
                <w:sz w:val="19"/>
              </w:rPr>
              <w:t>肠道微生物 ORF</w:t>
            </w:r>
          </w:p>
        </w:tc>
        <w:tc>
          <w:tcPr>
            <w:tcW w:type="dxa" w:w="2379"/>
          </w:tcPr>
          <w:p>
            <w:pPr>
              <w:spacing w:after="40" w:line="276" w:lineRule="auto"/>
            </w:pPr>
            <w:r/>
            <w:r>
              <w:rPr>
                <w:rFonts w:ascii="Times New Roman" w:hAnsi="Times New Roman" w:eastAsia="宋体"/>
                <w:b w:val="0"/>
                <w:i w:val="0"/>
                <w:color w:val="1F2937"/>
                <w:sz w:val="19"/>
              </w:rPr>
              <w:t>本课题主要筛选对象</w:t>
            </w:r>
          </w:p>
        </w:tc>
        <w:tc>
          <w:tcPr>
            <w:tcW w:type="dxa" w:w="2379"/>
          </w:tcPr>
          <w:p>
            <w:pPr>
              <w:spacing w:after="40" w:line="276" w:lineRule="auto"/>
            </w:pPr>
            <w:r/>
            <w:r>
              <w:rPr>
                <w:rFonts w:ascii="Times New Roman" w:hAnsi="Times New Roman" w:eastAsia="宋体"/>
                <w:b w:val="0"/>
                <w:i w:val="0"/>
                <w:color w:val="1F2937"/>
                <w:sz w:val="19"/>
              </w:rPr>
              <w:t>等待本课题差异和表达结果</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设计的 Aβ 抑制肽</w:t>
            </w:r>
          </w:p>
        </w:tc>
        <w:tc>
          <w:tcPr>
            <w:tcW w:type="dxa" w:w="2379"/>
            <w:shd w:val="clear" w:color="auto" w:fill="F2F5F9"/>
          </w:tcPr>
          <w:p>
            <w:pPr>
              <w:spacing w:after="40" w:line="276" w:lineRule="auto"/>
            </w:pPr>
            <w:r/>
            <w:r>
              <w:rPr>
                <w:rFonts w:ascii="Times New Roman" w:hAnsi="Times New Roman" w:eastAsia="宋体"/>
                <w:b w:val="0"/>
                <w:i w:val="0"/>
                <w:color w:val="1F2937"/>
                <w:sz w:val="19"/>
              </w:rPr>
              <w:t>合成或工程设计</w:t>
            </w:r>
          </w:p>
        </w:tc>
        <w:tc>
          <w:tcPr>
            <w:tcW w:type="dxa" w:w="2379"/>
            <w:shd w:val="clear" w:color="auto" w:fill="F2F5F9"/>
          </w:tcPr>
          <w:p>
            <w:pPr>
              <w:spacing w:after="40" w:line="276" w:lineRule="auto"/>
            </w:pPr>
            <w:r/>
            <w:r>
              <w:rPr>
                <w:rFonts w:ascii="Times New Roman" w:hAnsi="Times New Roman" w:eastAsia="宋体"/>
                <w:b w:val="0"/>
                <w:i w:val="0"/>
                <w:color w:val="1F2937"/>
                <w:sz w:val="19"/>
              </w:rPr>
              <w:t>治疗性比较对象</w:t>
            </w:r>
          </w:p>
        </w:tc>
        <w:tc>
          <w:tcPr>
            <w:tcW w:type="dxa" w:w="2379"/>
            <w:shd w:val="clear" w:color="auto" w:fill="F2F5F9"/>
          </w:tcPr>
          <w:p>
            <w:pPr>
              <w:spacing w:after="40" w:line="276" w:lineRule="auto"/>
            </w:pPr>
            <w:r/>
            <w:r>
              <w:rPr>
                <w:rFonts w:ascii="Times New Roman" w:hAnsi="Times New Roman" w:eastAsia="宋体"/>
                <w:b w:val="0"/>
                <w:i w:val="0"/>
                <w:color w:val="1F2937"/>
                <w:sz w:val="19"/>
              </w:rPr>
              <w:t>不是本课题首要目标</w:t>
            </w:r>
          </w:p>
        </w:tc>
      </w:tr>
    </w:tbl>
    <w:p>
      <w:pPr>
        <w:spacing w:after="40"/>
      </w:pPr>
    </w:p>
    <w:p>
      <w:pPr>
        <w:spacing w:before="240" w:after="100" w:line="288" w:lineRule="auto"/>
      </w:pPr>
      <w:r>
        <w:rPr>
          <w:rFonts w:ascii="Times New Roman" w:hAnsi="Times New Roman" w:eastAsia="微软雅黑"/>
          <w:b/>
          <w:i w:val="0"/>
          <w:color w:val="10305A"/>
          <w:sz w:val="27"/>
        </w:rPr>
        <w:t>问题 2：AD 与感染的关联，有没有病原体进入脑内？</w:t>
      </w:r>
    </w:p>
    <w:p>
      <w:pPr>
        <w:spacing w:before="0" w:after="120" w:line="336" w:lineRule="auto"/>
        <w:ind w:firstLine="440"/>
      </w:pPr>
      <w:r>
        <w:rPr>
          <w:rFonts w:ascii="Times New Roman" w:hAnsi="Times New Roman" w:eastAsia="宋体"/>
          <w:b w:val="0"/>
          <w:i w:val="0"/>
          <w:color w:val="1F2937"/>
          <w:sz w:val="22"/>
        </w:rPr>
        <w:t>结论：多种病原体、细菌组分和外周感染负担曾在 AD 组织或队列中被报道，但不同队列的可重复性、污染控制和因果方向必须谨慎。更稳妥的表述是“病原体/内毒素与 AD 病理存在关联线索”，而不是所有 AD 都由病原体直接入脑导致。[12，13，14，15，16，17，18]</w:t>
      </w:r>
    </w:p>
    <w:p>
      <w:pPr>
        <w:pStyle w:val="ListBullet"/>
        <w:spacing w:after="60" w:line="312" w:lineRule="auto"/>
      </w:pPr>
      <w:r>
        <w:rPr>
          <w:rFonts w:ascii="Times New Roman" w:hAnsi="Times New Roman" w:eastAsia="宋体"/>
          <w:b w:val="0"/>
          <w:i w:val="0"/>
          <w:color w:val="1F2937"/>
          <w:sz w:val="21"/>
        </w:rPr>
        <w:t>AD 脑组织中细菌读段、LPS 或特定病原体的检出差异，为感染—炎症假说提供线索；这些结果需要严格的阴性对照、死后间隔和批次控制。</w:t>
      </w:r>
    </w:p>
    <w:p>
      <w:pPr>
        <w:pStyle w:val="ListBullet"/>
        <w:spacing w:after="60" w:line="312" w:lineRule="auto"/>
      </w:pPr>
      <w:r>
        <w:rPr>
          <w:rFonts w:ascii="Times New Roman" w:hAnsi="Times New Roman" w:eastAsia="宋体"/>
          <w:b w:val="0"/>
          <w:i w:val="0"/>
          <w:color w:val="1F2937"/>
          <w:sz w:val="21"/>
        </w:rPr>
        <w:t>HSV-1、牙龈卟啉单胞菌和肺炎衣原体等研究分别提出感染、分泌酶、Aβ 反应或神经炎症的可能路径。</w:t>
      </w:r>
    </w:p>
    <w:p>
      <w:pPr>
        <w:pStyle w:val="ListBullet"/>
        <w:spacing w:after="60" w:line="312" w:lineRule="auto"/>
      </w:pPr>
      <w:r>
        <w:rPr>
          <w:rFonts w:ascii="Times New Roman" w:hAnsi="Times New Roman" w:eastAsia="宋体"/>
          <w:b w:val="0"/>
          <w:i w:val="0"/>
          <w:color w:val="1F2937"/>
          <w:sz w:val="21"/>
        </w:rPr>
        <w:t>人群归因分数是总体公共卫生估计，不是单个患者的病因概率；材料中的 13.5%、19.4% 和 31% 应在投稿前按原文核验。[19]</w:t>
      </w:r>
    </w:p>
    <w:p>
      <w:pPr>
        <w:pStyle w:val="ListBullet"/>
        <w:spacing w:after="60" w:line="312" w:lineRule="auto"/>
      </w:pPr>
      <w:r>
        <w:rPr>
          <w:rFonts w:ascii="Times New Roman" w:hAnsi="Times New Roman" w:eastAsia="宋体"/>
          <w:b w:val="0"/>
          <w:i w:val="0"/>
          <w:color w:val="1F2937"/>
          <w:sz w:val="21"/>
        </w:rPr>
        <w:t>外周 LPS、LBP、sCD14、CRP 和肠屏障指标把感染/菌群问题与脑病理连接起来，但仍然不能证明某条微生物 AMP 已进入脑内。[20，21，22]</w:t>
      </w:r>
    </w:p>
    <w:p>
      <w:pPr>
        <w:spacing w:before="40" w:after="120" w:line="324" w:lineRule="auto"/>
        <w:ind w:firstLine="200"/>
      </w:pPr>
      <w:r>
        <w:rPr>
          <w:rFonts w:ascii="Times New Roman" w:hAnsi="Times New Roman" w:eastAsia="楷体"/>
          <w:b w:val="0"/>
          <w:i/>
          <w:color w:val="555555"/>
          <w:sz w:val="20"/>
        </w:rPr>
        <w:t>▶ 边界：感染证据可以解释为什么宿主免疫 AMP/Aβ 被诱导，却不能直接把所有微生物源 AMP 定性为致病因子。</w:t>
      </w:r>
    </w:p>
    <w:p>
      <w:pPr>
        <w:spacing w:before="240" w:after="100" w:line="288" w:lineRule="auto"/>
      </w:pPr>
      <w:r>
        <w:rPr>
          <w:rFonts w:ascii="Times New Roman" w:hAnsi="Times New Roman" w:eastAsia="微软雅黑"/>
          <w:b/>
          <w:i w:val="0"/>
          <w:color w:val="10305A"/>
          <w:sz w:val="27"/>
        </w:rPr>
        <w:t>问题 3：抗菌活性为什么可以预测，有没有先例？</w:t>
      </w:r>
    </w:p>
    <w:p>
      <w:pPr>
        <w:spacing w:before="0" w:after="120" w:line="336" w:lineRule="auto"/>
        <w:ind w:firstLine="440"/>
      </w:pPr>
      <w:r>
        <w:rPr>
          <w:rFonts w:ascii="Times New Roman" w:hAnsi="Times New Roman" w:eastAsia="宋体"/>
          <w:b w:val="0"/>
          <w:i w:val="0"/>
          <w:color w:val="1F2937"/>
          <w:sz w:val="22"/>
        </w:rPr>
        <w:t>结论：有成熟先例。宏基因组短 ORF 翻译成肽库，再用深度学习预测 AMP，是可复现的候选发现路线；但预测输出是“具有 AMP 特征的候选”，不是“会导致 AD 的肽”。Ma 等从人类肠道宏基因组中筛出 2,349 条候选，合成 216 条后有 181 条显示抗菌活性，说明这一层方法能够有效缩小候选空间。[1，23，24，25，26，27]</w:t>
      </w:r>
    </w:p>
    <w:p>
      <w:pPr>
        <w:pStyle w:val="ListBullet"/>
        <w:spacing w:after="60" w:line="312" w:lineRule="auto"/>
      </w:pPr>
      <w:r>
        <w:rPr>
          <w:rFonts w:ascii="Times New Roman" w:hAnsi="Times New Roman" w:eastAsia="宋体"/>
          <w:b w:val="0"/>
          <w:i w:val="0"/>
          <w:color w:val="1F2937"/>
          <w:sz w:val="21"/>
        </w:rPr>
        <w:t>Attention、LSTM 和 BERT 可以从序列模式学习短肽特征，适合处理短序列和低同源新肽。</w:t>
      </w:r>
    </w:p>
    <w:p>
      <w:pPr>
        <w:pStyle w:val="ListBullet"/>
        <w:spacing w:after="60" w:line="312" w:lineRule="auto"/>
      </w:pPr>
      <w:r>
        <w:rPr>
          <w:rFonts w:ascii="Times New Roman" w:hAnsi="Times New Roman" w:eastAsia="宋体"/>
          <w:b w:val="0"/>
          <w:i w:val="0"/>
          <w:color w:val="1F2937"/>
          <w:sz w:val="21"/>
        </w:rPr>
        <w:t>AMPSphere、Macrel 和 AMPlify 可作为候选扩展、交叉预测或新颖性过滤工具。</w:t>
      </w:r>
    </w:p>
    <w:p>
      <w:pPr>
        <w:pStyle w:val="ListBullet"/>
        <w:spacing w:after="60" w:line="312" w:lineRule="auto"/>
      </w:pPr>
      <w:r>
        <w:rPr>
          <w:rFonts w:ascii="Times New Roman" w:hAnsi="Times New Roman" w:eastAsia="宋体"/>
          <w:b w:val="0"/>
          <w:i w:val="0"/>
          <w:color w:val="1F2937"/>
          <w:sz w:val="21"/>
        </w:rPr>
        <w:t>FMT 粪便流程进一步把宏蛋白组互证、分子动力学、化学合成与活性验证串起来，但它验证的是 AMP 功能，不是 AD 病理。</w:t>
      </w:r>
    </w:p>
    <w:p>
      <w:pPr>
        <w:spacing w:before="40" w:after="120" w:line="324" w:lineRule="auto"/>
        <w:ind w:firstLine="200"/>
      </w:pPr>
      <w:r>
        <w:rPr>
          <w:rFonts w:ascii="Times New Roman" w:hAnsi="Times New Roman" w:eastAsia="楷体"/>
          <w:b w:val="0"/>
          <w:i/>
          <w:color w:val="555555"/>
          <w:sz w:val="20"/>
        </w:rPr>
        <w:t>▶ 本课题的约束链应写成：三模型共识 → 差异分析 → 表达/宏蛋白组二次去重 → 代表性候选实验；不能把模型概率写成病理因果。</w:t>
      </w:r>
    </w:p>
    <w:p>
      <w:pPr>
        <w:spacing w:before="160" w:after="80" w:line="324" w:lineRule="auto"/>
      </w:pPr>
      <w:r>
        <w:rPr>
          <w:rFonts w:ascii="Times New Roman" w:hAnsi="Times New Roman" w:eastAsia="微软雅黑"/>
          <w:b/>
          <w:i w:val="0"/>
          <w:color w:val="10305A"/>
          <w:sz w:val="21"/>
        </w:rPr>
        <w:t>表 3　深度学习输出如何被正确翻译</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10305A"/>
          </w:tcPr>
          <w:p>
            <w:pPr>
              <w:jc w:val="center"/>
            </w:pPr>
            <w:r/>
            <w:r>
              <w:rPr>
                <w:rFonts w:ascii="Times New Roman" w:hAnsi="Times New Roman" w:eastAsia="微软雅黑"/>
                <w:b/>
                <w:i w:val="0"/>
                <w:color w:val="FFFFFF"/>
                <w:sz w:val="19"/>
              </w:rPr>
              <w:t>输出</w:t>
            </w:r>
          </w:p>
        </w:tc>
        <w:tc>
          <w:tcPr>
            <w:tcW w:type="dxa" w:w="3173"/>
            <w:shd w:val="clear" w:color="auto" w:fill="10305A"/>
          </w:tcPr>
          <w:p>
            <w:pPr>
              <w:jc w:val="center"/>
            </w:pPr>
            <w:r/>
            <w:r>
              <w:rPr>
                <w:rFonts w:ascii="Times New Roman" w:hAnsi="Times New Roman" w:eastAsia="微软雅黑"/>
                <w:b/>
                <w:i w:val="0"/>
                <w:color w:val="FFFFFF"/>
                <w:sz w:val="19"/>
              </w:rPr>
              <w:t>可以写</w:t>
            </w:r>
          </w:p>
        </w:tc>
        <w:tc>
          <w:tcPr>
            <w:tcW w:type="dxa" w:w="3173"/>
            <w:shd w:val="clear" w:color="auto" w:fill="10305A"/>
          </w:tcPr>
          <w:p>
            <w:pPr>
              <w:jc w:val="center"/>
            </w:pPr>
            <w:r/>
            <w:r>
              <w:rPr>
                <w:rFonts w:ascii="Times New Roman" w:hAnsi="Times New Roman" w:eastAsia="微软雅黑"/>
                <w:b/>
                <w:i w:val="0"/>
                <w:color w:val="FFFFFF"/>
                <w:sz w:val="19"/>
              </w:rPr>
              <w:t>不能写</w:t>
            </w:r>
          </w:p>
        </w:tc>
      </w:tr>
      <w:tr>
        <w:tc>
          <w:tcPr>
            <w:tcW w:type="dxa" w:w="3173"/>
          </w:tcPr>
          <w:p>
            <w:pPr>
              <w:spacing w:after="40" w:line="276" w:lineRule="auto"/>
            </w:pPr>
            <w:r/>
            <w:r>
              <w:rPr>
                <w:rFonts w:ascii="Times New Roman" w:hAnsi="Times New Roman" w:eastAsia="宋体"/>
                <w:b w:val="0"/>
                <w:i w:val="0"/>
                <w:color w:val="1F2937"/>
                <w:sz w:val="19"/>
              </w:rPr>
              <w:t>AMP 模型概率高</w:t>
            </w:r>
          </w:p>
        </w:tc>
        <w:tc>
          <w:tcPr>
            <w:tcW w:type="dxa" w:w="3173"/>
          </w:tcPr>
          <w:p>
            <w:pPr>
              <w:spacing w:after="40" w:line="276" w:lineRule="auto"/>
            </w:pPr>
            <w:r/>
            <w:r>
              <w:rPr>
                <w:rFonts w:ascii="Times New Roman" w:hAnsi="Times New Roman" w:eastAsia="宋体"/>
                <w:b w:val="0"/>
                <w:i w:val="0"/>
                <w:color w:val="1F2937"/>
                <w:sz w:val="19"/>
              </w:rPr>
              <w:t>具有 AMP 序列特征</w:t>
            </w:r>
          </w:p>
        </w:tc>
        <w:tc>
          <w:tcPr>
            <w:tcW w:type="dxa" w:w="3173"/>
          </w:tcPr>
          <w:p>
            <w:pPr>
              <w:spacing w:after="40" w:line="276" w:lineRule="auto"/>
            </w:pPr>
            <w:r/>
            <w:r>
              <w:rPr>
                <w:rFonts w:ascii="Times New Roman" w:hAnsi="Times New Roman" w:eastAsia="宋体"/>
                <w:b w:val="0"/>
                <w:i w:val="0"/>
                <w:color w:val="1F2937"/>
                <w:sz w:val="19"/>
              </w:rPr>
              <w:t>会导致 AD</w:t>
            </w:r>
          </w:p>
        </w:tc>
      </w:tr>
      <w:tr>
        <w:tc>
          <w:tcPr>
            <w:tcW w:type="dxa" w:w="3173"/>
            <w:shd w:val="clear" w:color="auto" w:fill="F2F5F9"/>
          </w:tcPr>
          <w:p>
            <w:pPr>
              <w:spacing w:after="40" w:line="276" w:lineRule="auto"/>
            </w:pPr>
            <w:r/>
            <w:r>
              <w:rPr>
                <w:rFonts w:ascii="Times New Roman" w:hAnsi="Times New Roman" w:eastAsia="宋体"/>
                <w:b w:val="0"/>
                <w:i w:val="0"/>
                <w:color w:val="1F2937"/>
                <w:sz w:val="19"/>
              </w:rPr>
              <w:t>模型 2/3 或 3/3 共识</w:t>
            </w:r>
          </w:p>
        </w:tc>
        <w:tc>
          <w:tcPr>
            <w:tcW w:type="dxa" w:w="3173"/>
            <w:shd w:val="clear" w:color="auto" w:fill="F2F5F9"/>
          </w:tcPr>
          <w:p>
            <w:pPr>
              <w:spacing w:after="40" w:line="276" w:lineRule="auto"/>
            </w:pPr>
            <w:r/>
            <w:r>
              <w:rPr>
                <w:rFonts w:ascii="Times New Roman" w:hAnsi="Times New Roman" w:eastAsia="宋体"/>
                <w:b w:val="0"/>
                <w:i w:val="0"/>
                <w:color w:val="1F2937"/>
                <w:sz w:val="19"/>
              </w:rPr>
              <w:t>降低单模型假阳性</w:t>
            </w:r>
          </w:p>
        </w:tc>
        <w:tc>
          <w:tcPr>
            <w:tcW w:type="dxa" w:w="3173"/>
            <w:shd w:val="clear" w:color="auto" w:fill="F2F5F9"/>
          </w:tcPr>
          <w:p>
            <w:pPr>
              <w:spacing w:after="40" w:line="276" w:lineRule="auto"/>
            </w:pPr>
            <w:r/>
            <w:r>
              <w:rPr>
                <w:rFonts w:ascii="Times New Roman" w:hAnsi="Times New Roman" w:eastAsia="宋体"/>
                <w:b w:val="0"/>
                <w:i w:val="0"/>
                <w:color w:val="1F2937"/>
                <w:sz w:val="19"/>
              </w:rPr>
              <w:t>已经有体内抗菌活性</w:t>
            </w:r>
          </w:p>
        </w:tc>
      </w:tr>
      <w:tr>
        <w:tc>
          <w:tcPr>
            <w:tcW w:type="dxa" w:w="3173"/>
          </w:tcPr>
          <w:p>
            <w:pPr>
              <w:spacing w:after="40" w:line="276" w:lineRule="auto"/>
            </w:pPr>
            <w:r/>
            <w:r>
              <w:rPr>
                <w:rFonts w:ascii="Times New Roman" w:hAnsi="Times New Roman" w:eastAsia="宋体"/>
                <w:b w:val="0"/>
                <w:i w:val="0"/>
                <w:color w:val="1F2937"/>
                <w:sz w:val="19"/>
              </w:rPr>
              <w:t>AD 组编码丰度升高</w:t>
            </w:r>
          </w:p>
        </w:tc>
        <w:tc>
          <w:tcPr>
            <w:tcW w:type="dxa" w:w="3173"/>
          </w:tcPr>
          <w:p>
            <w:pPr>
              <w:spacing w:after="40" w:line="276" w:lineRule="auto"/>
            </w:pPr>
            <w:r/>
            <w:r>
              <w:rPr>
                <w:rFonts w:ascii="Times New Roman" w:hAnsi="Times New Roman" w:eastAsia="宋体"/>
                <w:b w:val="0"/>
                <w:i w:val="0"/>
                <w:color w:val="1F2937"/>
                <w:sz w:val="19"/>
              </w:rPr>
              <w:t>与 AD 状态相关的候选</w:t>
            </w:r>
          </w:p>
        </w:tc>
        <w:tc>
          <w:tcPr>
            <w:tcW w:type="dxa" w:w="3173"/>
          </w:tcPr>
          <w:p>
            <w:pPr>
              <w:spacing w:after="40" w:line="276" w:lineRule="auto"/>
            </w:pPr>
            <w:r/>
            <w:r>
              <w:rPr>
                <w:rFonts w:ascii="Times New Roman" w:hAnsi="Times New Roman" w:eastAsia="宋体"/>
                <w:b w:val="0"/>
                <w:i w:val="0"/>
                <w:color w:val="1F2937"/>
                <w:sz w:val="19"/>
              </w:rPr>
              <w:t>脑内浓度升高</w:t>
            </w:r>
          </w:p>
        </w:tc>
      </w:tr>
      <w:tr>
        <w:tc>
          <w:tcPr>
            <w:tcW w:type="dxa" w:w="3173"/>
            <w:shd w:val="clear" w:color="auto" w:fill="F2F5F9"/>
          </w:tcPr>
          <w:p>
            <w:pPr>
              <w:spacing w:after="40" w:line="276" w:lineRule="auto"/>
            </w:pPr>
            <w:r/>
            <w:r>
              <w:rPr>
                <w:rFonts w:ascii="Times New Roman" w:hAnsi="Times New Roman" w:eastAsia="宋体"/>
                <w:b w:val="0"/>
                <w:i w:val="0"/>
                <w:color w:val="1F2937"/>
                <w:sz w:val="19"/>
              </w:rPr>
              <w:t>宏蛋白组/肽组学检出</w:t>
            </w:r>
          </w:p>
        </w:tc>
        <w:tc>
          <w:tcPr>
            <w:tcW w:type="dxa" w:w="3173"/>
            <w:shd w:val="clear" w:color="auto" w:fill="F2F5F9"/>
          </w:tcPr>
          <w:p>
            <w:pPr>
              <w:spacing w:after="40" w:line="276" w:lineRule="auto"/>
            </w:pPr>
            <w:r/>
            <w:r>
              <w:rPr>
                <w:rFonts w:ascii="Times New Roman" w:hAnsi="Times New Roman" w:eastAsia="宋体"/>
                <w:b w:val="0"/>
                <w:i w:val="0"/>
                <w:color w:val="1F2937"/>
                <w:sz w:val="19"/>
              </w:rPr>
              <w:t>表达或加工证据增强</w:t>
            </w:r>
          </w:p>
        </w:tc>
        <w:tc>
          <w:tcPr>
            <w:tcW w:type="dxa" w:w="3173"/>
            <w:shd w:val="clear" w:color="auto" w:fill="F2F5F9"/>
          </w:tcPr>
          <w:p>
            <w:pPr>
              <w:spacing w:after="40" w:line="276" w:lineRule="auto"/>
            </w:pPr>
            <w:r/>
            <w:r>
              <w:rPr>
                <w:rFonts w:ascii="Times New Roman" w:hAnsi="Times New Roman" w:eastAsia="宋体"/>
                <w:b w:val="0"/>
                <w:i w:val="0"/>
                <w:color w:val="1F2937"/>
                <w:sz w:val="19"/>
              </w:rPr>
              <w:t>一定激活炎症</w:t>
            </w:r>
          </w:p>
        </w:tc>
      </w:tr>
      <w:tr>
        <w:tc>
          <w:tcPr>
            <w:tcW w:type="dxa" w:w="3173"/>
          </w:tcPr>
          <w:p>
            <w:pPr>
              <w:spacing w:after="40" w:line="276" w:lineRule="auto"/>
            </w:pPr>
            <w:r/>
            <w:r>
              <w:rPr>
                <w:rFonts w:ascii="Times New Roman" w:hAnsi="Times New Roman" w:eastAsia="宋体"/>
                <w:b w:val="0"/>
                <w:i w:val="0"/>
                <w:color w:val="1F2937"/>
                <w:sz w:val="19"/>
              </w:rPr>
              <w:t>MD 界面稳定</w:t>
            </w:r>
          </w:p>
        </w:tc>
        <w:tc>
          <w:tcPr>
            <w:tcW w:type="dxa" w:w="3173"/>
          </w:tcPr>
          <w:p>
            <w:pPr>
              <w:spacing w:after="40" w:line="276" w:lineRule="auto"/>
            </w:pPr>
            <w:r/>
            <w:r>
              <w:rPr>
                <w:rFonts w:ascii="Times New Roman" w:hAnsi="Times New Roman" w:eastAsia="宋体"/>
                <w:b w:val="0"/>
                <w:i w:val="0"/>
                <w:color w:val="1F2937"/>
                <w:sz w:val="19"/>
              </w:rPr>
              <w:t>值得实验验证的结构假说</w:t>
            </w:r>
          </w:p>
        </w:tc>
        <w:tc>
          <w:tcPr>
            <w:tcW w:type="dxa" w:w="3173"/>
          </w:tcPr>
          <w:p>
            <w:pPr>
              <w:spacing w:after="40" w:line="276" w:lineRule="auto"/>
            </w:pPr>
            <w:r/>
            <w:r>
              <w:rPr>
                <w:rFonts w:ascii="Times New Roman" w:hAnsi="Times New Roman" w:eastAsia="宋体"/>
                <w:b w:val="0"/>
                <w:i w:val="0"/>
                <w:color w:val="1F2937"/>
                <w:sz w:val="19"/>
              </w:rPr>
              <w:t>体内已结合并致病</w:t>
            </w:r>
          </w:p>
        </w:tc>
      </w:tr>
    </w:tbl>
    <w:p>
      <w:pPr>
        <w:spacing w:after="40"/>
      </w:pPr>
    </w:p>
    <w:p>
      <w:pPr>
        <w:spacing w:before="240" w:after="100" w:line="288" w:lineRule="auto"/>
      </w:pPr>
      <w:r>
        <w:rPr>
          <w:rFonts w:ascii="Times New Roman" w:hAnsi="Times New Roman" w:eastAsia="微软雅黑"/>
          <w:b/>
          <w:i w:val="0"/>
          <w:color w:val="10305A"/>
          <w:sz w:val="27"/>
        </w:rPr>
        <w:t>问题 4：AD 组特有抗菌肽为什么能与 AD 关联？</w:t>
      </w:r>
    </w:p>
    <w:p>
      <w:pPr>
        <w:spacing w:before="0" w:after="120" w:line="336" w:lineRule="auto"/>
        <w:ind w:firstLine="440"/>
      </w:pPr>
      <w:r>
        <w:rPr>
          <w:rFonts w:ascii="Times New Roman" w:hAnsi="Times New Roman" w:eastAsia="宋体"/>
          <w:b w:val="0"/>
          <w:i w:val="0"/>
          <w:color w:val="1F2937"/>
          <w:sz w:val="22"/>
        </w:rPr>
        <w:t>结论：如果不同认知阶段的肠道菌群组成、丰度和网络结构存在梯度差异，那么这些菌群编码的 AMP 序列库也可能呈现阶段特异性。阶段特有肽首先是一个计算筛选产物，只有在表达、来源菌、生态网络和病理中介证据一致时，才可以升级为机制优先候选。[28，29，30，31，32，33，34，35]</w:t>
      </w:r>
    </w:p>
    <w:p>
      <w:pPr>
        <w:pStyle w:val="ListBullet"/>
        <w:spacing w:after="60" w:line="312" w:lineRule="auto"/>
      </w:pPr>
      <w:r>
        <w:rPr>
          <w:rFonts w:ascii="Times New Roman" w:hAnsi="Times New Roman" w:eastAsia="宋体"/>
          <w:b w:val="0"/>
          <w:i w:val="0"/>
          <w:color w:val="1F2937"/>
          <w:sz w:val="21"/>
        </w:rPr>
        <w:t>按 NC、SCS、SCD、MCI、AD 分层，可观察菌群和 AMP 组成是否随认知状态改变；实际样本量和效应值应以本课题数据为准。</w:t>
      </w:r>
    </w:p>
    <w:p>
      <w:pPr>
        <w:pStyle w:val="ListBullet"/>
        <w:spacing w:after="60" w:line="312" w:lineRule="auto"/>
      </w:pPr>
      <w:r>
        <w:rPr>
          <w:rFonts w:ascii="Times New Roman" w:hAnsi="Times New Roman" w:eastAsia="宋体"/>
          <w:b w:val="0"/>
          <w:i w:val="0"/>
          <w:color w:val="1F2937"/>
          <w:sz w:val="21"/>
        </w:rPr>
        <w:t>促炎菌、脑淀粉样沉积、IL-1β/NLRP3 或 LPS/SCFA 的关联可以作为中间层，而不是直接把阶段特有肽称为致病肽。</w:t>
      </w:r>
    </w:p>
    <w:p>
      <w:pPr>
        <w:pStyle w:val="ListBullet"/>
        <w:spacing w:after="60" w:line="312" w:lineRule="auto"/>
      </w:pPr>
      <w:r>
        <w:rPr>
          <w:rFonts w:ascii="Times New Roman" w:hAnsi="Times New Roman" w:eastAsia="宋体"/>
          <w:b w:val="0"/>
          <w:i w:val="0"/>
          <w:color w:val="1F2937"/>
          <w:sz w:val="21"/>
        </w:rPr>
        <w:t>宏蛋白组或肽组学二次验证用于剔除“DNA 中存在、但没有表达或加工”的假阳性。</w:t>
      </w:r>
    </w:p>
    <w:p>
      <w:pPr>
        <w:spacing w:before="40" w:after="120" w:line="324" w:lineRule="auto"/>
        <w:ind w:firstLine="200"/>
      </w:pPr>
      <w:r>
        <w:rPr>
          <w:rFonts w:ascii="Times New Roman" w:hAnsi="Times New Roman" w:eastAsia="楷体"/>
          <w:b w:val="0"/>
          <w:i/>
          <w:color w:val="555555"/>
          <w:sz w:val="20"/>
        </w:rPr>
        <w:t>▶ 最稳妥的论文表达是“阶段特异性 AD-associated AMP candidate”，不是“AD 特异致病 AMP”。</w:t>
      </w:r>
    </w:p>
    <w:p>
      <w:pPr>
        <w:spacing w:before="160" w:after="80" w:line="324" w:lineRule="auto"/>
      </w:pPr>
      <w:r>
        <w:rPr>
          <w:rFonts w:ascii="Times New Roman" w:hAnsi="Times New Roman" w:eastAsia="微软雅黑"/>
          <w:b/>
          <w:i w:val="0"/>
          <w:color w:val="10305A"/>
          <w:sz w:val="21"/>
        </w:rPr>
        <w:t>表 4　阶段特异性候选肽的判定层级</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10305A"/>
          </w:tcPr>
          <w:p>
            <w:pPr>
              <w:jc w:val="center"/>
            </w:pPr>
            <w:r/>
            <w:r>
              <w:rPr>
                <w:rFonts w:ascii="Times New Roman" w:hAnsi="Times New Roman" w:eastAsia="微软雅黑"/>
                <w:b/>
                <w:i w:val="0"/>
                <w:color w:val="FFFFFF"/>
                <w:sz w:val="19"/>
              </w:rPr>
              <w:t>层级</w:t>
            </w:r>
          </w:p>
        </w:tc>
        <w:tc>
          <w:tcPr>
            <w:tcW w:type="dxa" w:w="3173"/>
            <w:shd w:val="clear" w:color="auto" w:fill="10305A"/>
          </w:tcPr>
          <w:p>
            <w:pPr>
              <w:jc w:val="center"/>
            </w:pPr>
            <w:r/>
            <w:r>
              <w:rPr>
                <w:rFonts w:ascii="Times New Roman" w:hAnsi="Times New Roman" w:eastAsia="微软雅黑"/>
                <w:b/>
                <w:i w:val="0"/>
                <w:color w:val="FFFFFF"/>
                <w:sz w:val="19"/>
              </w:rPr>
              <w:t>规则</w:t>
            </w:r>
          </w:p>
        </w:tc>
        <w:tc>
          <w:tcPr>
            <w:tcW w:type="dxa" w:w="3173"/>
            <w:shd w:val="clear" w:color="auto" w:fill="10305A"/>
          </w:tcPr>
          <w:p>
            <w:pPr>
              <w:jc w:val="center"/>
            </w:pPr>
            <w:r/>
            <w:r>
              <w:rPr>
                <w:rFonts w:ascii="Times New Roman" w:hAnsi="Times New Roman" w:eastAsia="微软雅黑"/>
                <w:b/>
                <w:i w:val="0"/>
                <w:color w:val="FFFFFF"/>
                <w:sz w:val="19"/>
              </w:rPr>
              <w:t>结论</w:t>
            </w:r>
          </w:p>
        </w:tc>
      </w:tr>
      <w:tr>
        <w:tc>
          <w:tcPr>
            <w:tcW w:type="dxa" w:w="3173"/>
          </w:tcPr>
          <w:p>
            <w:pPr>
              <w:spacing w:after="40" w:line="276" w:lineRule="auto"/>
            </w:pPr>
            <w:r/>
            <w:r>
              <w:rPr>
                <w:rFonts w:ascii="Times New Roman" w:hAnsi="Times New Roman" w:eastAsia="宋体"/>
                <w:b w:val="0"/>
                <w:i w:val="0"/>
                <w:color w:val="1F2937"/>
                <w:sz w:val="19"/>
              </w:rPr>
              <w:t>组内出现</w:t>
            </w:r>
          </w:p>
        </w:tc>
        <w:tc>
          <w:tcPr>
            <w:tcW w:type="dxa" w:w="3173"/>
          </w:tcPr>
          <w:p>
            <w:pPr>
              <w:spacing w:after="40" w:line="276" w:lineRule="auto"/>
            </w:pPr>
            <w:r/>
            <w:r>
              <w:rPr>
                <w:rFonts w:ascii="Times New Roman" w:hAnsi="Times New Roman" w:eastAsia="宋体"/>
                <w:b w:val="0"/>
                <w:i w:val="0"/>
                <w:color w:val="1F2937"/>
                <w:sz w:val="19"/>
              </w:rPr>
              <w:t>组内检出率达到预设阈值</w:t>
            </w:r>
          </w:p>
        </w:tc>
        <w:tc>
          <w:tcPr>
            <w:tcW w:type="dxa" w:w="3173"/>
          </w:tcPr>
          <w:p>
            <w:pPr>
              <w:spacing w:after="40" w:line="276" w:lineRule="auto"/>
            </w:pPr>
            <w:r/>
            <w:r>
              <w:rPr>
                <w:rFonts w:ascii="Times New Roman" w:hAnsi="Times New Roman" w:eastAsia="宋体"/>
                <w:b w:val="0"/>
                <w:i w:val="0"/>
                <w:color w:val="1F2937"/>
                <w:sz w:val="19"/>
              </w:rPr>
              <w:t>阶段富集线索</w:t>
            </w:r>
          </w:p>
        </w:tc>
      </w:tr>
      <w:tr>
        <w:tc>
          <w:tcPr>
            <w:tcW w:type="dxa" w:w="3173"/>
            <w:shd w:val="clear" w:color="auto" w:fill="F2F5F9"/>
          </w:tcPr>
          <w:p>
            <w:pPr>
              <w:spacing w:after="40" w:line="276" w:lineRule="auto"/>
            </w:pPr>
            <w:r/>
            <w:r>
              <w:rPr>
                <w:rFonts w:ascii="Times New Roman" w:hAnsi="Times New Roman" w:eastAsia="宋体"/>
                <w:b w:val="0"/>
                <w:i w:val="0"/>
                <w:color w:val="1F2937"/>
                <w:sz w:val="19"/>
              </w:rPr>
              <w:t>组间差异</w:t>
            </w:r>
          </w:p>
        </w:tc>
        <w:tc>
          <w:tcPr>
            <w:tcW w:type="dxa" w:w="3173"/>
            <w:shd w:val="clear" w:color="auto" w:fill="F2F5F9"/>
          </w:tcPr>
          <w:p>
            <w:pPr>
              <w:spacing w:after="40" w:line="276" w:lineRule="auto"/>
            </w:pPr>
            <w:r/>
            <w:r>
              <w:rPr>
                <w:rFonts w:ascii="Times New Roman" w:hAnsi="Times New Roman" w:eastAsia="宋体"/>
                <w:b w:val="0"/>
                <w:i w:val="0"/>
                <w:color w:val="1F2937"/>
                <w:sz w:val="19"/>
              </w:rPr>
              <w:t>效应量、FDR、协变量校正稳定</w:t>
            </w:r>
          </w:p>
        </w:tc>
        <w:tc>
          <w:tcPr>
            <w:tcW w:type="dxa" w:w="3173"/>
            <w:shd w:val="clear" w:color="auto" w:fill="F2F5F9"/>
          </w:tcPr>
          <w:p>
            <w:pPr>
              <w:spacing w:after="40" w:line="276" w:lineRule="auto"/>
            </w:pPr>
            <w:r/>
            <w:r>
              <w:rPr>
                <w:rFonts w:ascii="Times New Roman" w:hAnsi="Times New Roman" w:eastAsia="宋体"/>
                <w:b w:val="0"/>
                <w:i w:val="0"/>
                <w:color w:val="1F2937"/>
                <w:sz w:val="19"/>
              </w:rPr>
              <w:t>AD/健康差异候选</w:t>
            </w:r>
          </w:p>
        </w:tc>
      </w:tr>
      <w:tr>
        <w:tc>
          <w:tcPr>
            <w:tcW w:type="dxa" w:w="3173"/>
          </w:tcPr>
          <w:p>
            <w:pPr>
              <w:spacing w:after="40" w:line="276" w:lineRule="auto"/>
            </w:pPr>
            <w:r/>
            <w:r>
              <w:rPr>
                <w:rFonts w:ascii="Times New Roman" w:hAnsi="Times New Roman" w:eastAsia="宋体"/>
                <w:b w:val="0"/>
                <w:i w:val="0"/>
                <w:color w:val="1F2937"/>
                <w:sz w:val="19"/>
              </w:rPr>
              <w:t>病程趋势</w:t>
            </w:r>
          </w:p>
        </w:tc>
        <w:tc>
          <w:tcPr>
            <w:tcW w:type="dxa" w:w="3173"/>
          </w:tcPr>
          <w:p>
            <w:pPr>
              <w:spacing w:after="40" w:line="276" w:lineRule="auto"/>
            </w:pPr>
            <w:r/>
            <w:r>
              <w:rPr>
                <w:rFonts w:ascii="Times New Roman" w:hAnsi="Times New Roman" w:eastAsia="宋体"/>
                <w:b w:val="0"/>
                <w:i w:val="0"/>
                <w:color w:val="1F2937"/>
                <w:sz w:val="19"/>
              </w:rPr>
              <w:t>NC→SCS→SCD→MCI→AD 或病程分数趋势</w:t>
            </w:r>
          </w:p>
        </w:tc>
        <w:tc>
          <w:tcPr>
            <w:tcW w:type="dxa" w:w="3173"/>
          </w:tcPr>
          <w:p>
            <w:pPr>
              <w:spacing w:after="40" w:line="276" w:lineRule="auto"/>
            </w:pPr>
            <w:r/>
            <w:r>
              <w:rPr>
                <w:rFonts w:ascii="Times New Roman" w:hAnsi="Times New Roman" w:eastAsia="宋体"/>
                <w:b w:val="0"/>
                <w:i w:val="0"/>
                <w:color w:val="1F2937"/>
                <w:sz w:val="19"/>
              </w:rPr>
              <w:t>随病程变化候选</w:t>
            </w:r>
          </w:p>
        </w:tc>
      </w:tr>
      <w:tr>
        <w:tc>
          <w:tcPr>
            <w:tcW w:type="dxa" w:w="3173"/>
            <w:shd w:val="clear" w:color="auto" w:fill="F2F5F9"/>
          </w:tcPr>
          <w:p>
            <w:pPr>
              <w:spacing w:after="40" w:line="276" w:lineRule="auto"/>
            </w:pPr>
            <w:r/>
            <w:r>
              <w:rPr>
                <w:rFonts w:ascii="Times New Roman" w:hAnsi="Times New Roman" w:eastAsia="宋体"/>
                <w:b w:val="0"/>
                <w:i w:val="0"/>
                <w:color w:val="1F2937"/>
                <w:sz w:val="19"/>
              </w:rPr>
              <w:t>表达支持</w:t>
            </w:r>
          </w:p>
        </w:tc>
        <w:tc>
          <w:tcPr>
            <w:tcW w:type="dxa" w:w="3173"/>
            <w:shd w:val="clear" w:color="auto" w:fill="F2F5F9"/>
          </w:tcPr>
          <w:p>
            <w:pPr>
              <w:spacing w:after="40" w:line="276" w:lineRule="auto"/>
            </w:pPr>
            <w:r/>
            <w:r>
              <w:rPr>
                <w:rFonts w:ascii="Times New Roman" w:hAnsi="Times New Roman" w:eastAsia="宋体"/>
                <w:b w:val="0"/>
                <w:i w:val="0"/>
                <w:color w:val="1F2937"/>
                <w:sz w:val="19"/>
              </w:rPr>
              <w:t>宏蛋白组/肽组学或转录支持</w:t>
            </w:r>
          </w:p>
        </w:tc>
        <w:tc>
          <w:tcPr>
            <w:tcW w:type="dxa" w:w="3173"/>
            <w:shd w:val="clear" w:color="auto" w:fill="F2F5F9"/>
          </w:tcPr>
          <w:p>
            <w:pPr>
              <w:spacing w:after="40" w:line="276" w:lineRule="auto"/>
            </w:pPr>
            <w:r/>
            <w:r>
              <w:rPr>
                <w:rFonts w:ascii="Times New Roman" w:hAnsi="Times New Roman" w:eastAsia="宋体"/>
                <w:b w:val="0"/>
                <w:i w:val="0"/>
                <w:color w:val="1F2937"/>
                <w:sz w:val="19"/>
              </w:rPr>
              <w:t>真实暴露可能性增强</w:t>
            </w:r>
          </w:p>
        </w:tc>
      </w:tr>
      <w:tr>
        <w:tc>
          <w:tcPr>
            <w:tcW w:type="dxa" w:w="3173"/>
          </w:tcPr>
          <w:p>
            <w:pPr>
              <w:spacing w:after="40" w:line="276" w:lineRule="auto"/>
            </w:pPr>
            <w:r/>
            <w:r>
              <w:rPr>
                <w:rFonts w:ascii="Times New Roman" w:hAnsi="Times New Roman" w:eastAsia="宋体"/>
                <w:b w:val="0"/>
                <w:i w:val="0"/>
                <w:color w:val="1F2937"/>
                <w:sz w:val="19"/>
              </w:rPr>
              <w:t>功能机制</w:t>
            </w:r>
          </w:p>
        </w:tc>
        <w:tc>
          <w:tcPr>
            <w:tcW w:type="dxa" w:w="3173"/>
          </w:tcPr>
          <w:p>
            <w:pPr>
              <w:spacing w:after="40" w:line="276" w:lineRule="auto"/>
            </w:pPr>
            <w:r/>
            <w:r>
              <w:rPr>
                <w:rFonts w:ascii="Times New Roman" w:hAnsi="Times New Roman" w:eastAsia="宋体"/>
                <w:b w:val="0"/>
                <w:i w:val="0"/>
                <w:color w:val="1F2937"/>
                <w:sz w:val="19"/>
              </w:rPr>
              <w:t>菌群、炎症、屏障、Aβ/BBB 多层支持</w:t>
            </w:r>
          </w:p>
        </w:tc>
        <w:tc>
          <w:tcPr>
            <w:tcW w:type="dxa" w:w="3173"/>
          </w:tcPr>
          <w:p>
            <w:pPr>
              <w:spacing w:after="40" w:line="276" w:lineRule="auto"/>
            </w:pPr>
            <w:r/>
            <w:r>
              <w:rPr>
                <w:rFonts w:ascii="Times New Roman" w:hAnsi="Times New Roman" w:eastAsia="宋体"/>
                <w:b w:val="0"/>
                <w:i w:val="0"/>
                <w:color w:val="1F2937"/>
                <w:sz w:val="19"/>
              </w:rPr>
              <w:t>机制优先候选</w:t>
            </w:r>
          </w:p>
        </w:tc>
      </w:tr>
    </w:tbl>
    <w:p>
      <w:pPr>
        <w:spacing w:after="40"/>
      </w:pPr>
    </w:p>
    <w:p>
      <w:pPr>
        <w:spacing w:before="240" w:after="100" w:line="288" w:lineRule="auto"/>
      </w:pPr>
      <w:r>
        <w:rPr>
          <w:rFonts w:ascii="Times New Roman" w:hAnsi="Times New Roman" w:eastAsia="微软雅黑"/>
          <w:b/>
          <w:i w:val="0"/>
          <w:color w:val="10305A"/>
          <w:sz w:val="27"/>
        </w:rPr>
        <w:t>问题 5：抗菌肽是促进 AD，还是抑制感染？</w:t>
      </w:r>
    </w:p>
    <w:p>
      <w:pPr>
        <w:spacing w:before="0" w:after="120" w:line="336" w:lineRule="auto"/>
        <w:ind w:firstLine="440"/>
      </w:pPr>
      <w:r>
        <w:rPr>
          <w:rFonts w:ascii="Times New Roman" w:hAnsi="Times New Roman" w:eastAsia="宋体"/>
          <w:b w:val="0"/>
          <w:i w:val="0"/>
          <w:color w:val="1F2937"/>
          <w:sz w:val="22"/>
        </w:rPr>
        <w:t>结论：两种方向都可能，取决于肽的来源、浓度、聚集状态、盐度、作用部位和靶细胞。抗菌作用与病理作用不是逻辑矛盾：一个 AMP 可以在局部抑制感染，同时在长期过量、异常聚集或错误区室中放大炎症。[5，7，10，36，37，38]</w:t>
      </w:r>
    </w:p>
    <w:p>
      <w:pPr>
        <w:pStyle w:val="ListBullet"/>
        <w:spacing w:after="60" w:line="312" w:lineRule="auto"/>
      </w:pPr>
      <w:r>
        <w:rPr>
          <w:rFonts w:ascii="Times New Roman" w:hAnsi="Times New Roman" w:eastAsia="宋体"/>
          <w:b w:val="0"/>
          <w:i w:val="0"/>
          <w:color w:val="1F2937"/>
          <w:sz w:val="21"/>
        </w:rPr>
        <w:t>保护/抗感染方向：Aβ 或其他 AMP 捕获病原体、干扰膜或生物膜；这说明先天免疫功能。[39，40]</w:t>
      </w:r>
    </w:p>
    <w:p>
      <w:pPr>
        <w:pStyle w:val="ListBullet"/>
        <w:spacing w:after="60" w:line="312" w:lineRule="auto"/>
      </w:pPr>
      <w:r>
        <w:rPr>
          <w:rFonts w:ascii="Times New Roman" w:hAnsi="Times New Roman" w:eastAsia="宋体"/>
          <w:b w:val="0"/>
          <w:i w:val="0"/>
          <w:color w:val="1F2937"/>
          <w:sz w:val="21"/>
        </w:rPr>
        <w:t>风险样方向：宿主 LL-37 可促进 CLIC1 膜转位、小胶质过度活化和神经炎症，提示 AMP 在特定环境下可能放大病理。[10]</w:t>
      </w:r>
    </w:p>
    <w:p>
      <w:pPr>
        <w:pStyle w:val="ListBullet"/>
        <w:spacing w:after="60" w:line="312" w:lineRule="auto"/>
      </w:pPr>
      <w:r>
        <w:rPr>
          <w:rFonts w:ascii="Times New Roman" w:hAnsi="Times New Roman" w:eastAsia="宋体"/>
          <w:b w:val="0"/>
          <w:i w:val="0"/>
          <w:color w:val="1F2937"/>
          <w:sz w:val="21"/>
        </w:rPr>
        <w:t>交叉成核方向：AMP 与淀粉样肽可能促进、抑制或重定向聚集；方向需要序列、构象和浓度特异性计算与实验。</w:t>
      </w:r>
    </w:p>
    <w:p>
      <w:pPr>
        <w:spacing w:before="40" w:after="120" w:line="324" w:lineRule="auto"/>
        <w:ind w:firstLine="200"/>
      </w:pPr>
      <w:r>
        <w:rPr>
          <w:rFonts w:ascii="Times New Roman" w:hAnsi="Times New Roman" w:eastAsia="楷体"/>
          <w:b w:val="0"/>
          <w:i/>
          <w:color w:val="555555"/>
          <w:sz w:val="20"/>
        </w:rPr>
        <w:t>▶ 对你的微生物源候选肽，应先分类为风险样、保护样或未知方向；不要预先把所有候选写成促进 AD，也不要预先全部写成抑制剂。</w:t>
      </w:r>
    </w:p>
    <w:p>
      <w:pPr>
        <w:spacing w:before="160" w:after="80" w:line="324" w:lineRule="auto"/>
      </w:pPr>
      <w:r>
        <w:rPr>
          <w:rFonts w:ascii="Times New Roman" w:hAnsi="Times New Roman" w:eastAsia="微软雅黑"/>
          <w:b/>
          <w:i w:val="0"/>
          <w:color w:val="10305A"/>
          <w:sz w:val="21"/>
        </w:rPr>
        <w:t>表 5　双刃剑的判定读数</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0305A"/>
          </w:tcPr>
          <w:p>
            <w:pPr>
              <w:jc w:val="center"/>
            </w:pPr>
            <w:r/>
            <w:r>
              <w:rPr>
                <w:rFonts w:ascii="Times New Roman" w:hAnsi="Times New Roman" w:eastAsia="微软雅黑"/>
                <w:b/>
                <w:i w:val="0"/>
                <w:color w:val="FFFFFF"/>
                <w:sz w:val="19"/>
              </w:rPr>
              <w:t>层面</w:t>
            </w:r>
          </w:p>
        </w:tc>
        <w:tc>
          <w:tcPr>
            <w:tcW w:type="dxa" w:w="2379"/>
            <w:shd w:val="clear" w:color="auto" w:fill="10305A"/>
          </w:tcPr>
          <w:p>
            <w:pPr>
              <w:jc w:val="center"/>
            </w:pPr>
            <w:r/>
            <w:r>
              <w:rPr>
                <w:rFonts w:ascii="Times New Roman" w:hAnsi="Times New Roman" w:eastAsia="微软雅黑"/>
                <w:b/>
                <w:i w:val="0"/>
                <w:color w:val="FFFFFF"/>
                <w:sz w:val="19"/>
              </w:rPr>
              <w:t>保护/抑制样</w:t>
            </w:r>
          </w:p>
        </w:tc>
        <w:tc>
          <w:tcPr>
            <w:tcW w:type="dxa" w:w="2379"/>
            <w:shd w:val="clear" w:color="auto" w:fill="10305A"/>
          </w:tcPr>
          <w:p>
            <w:pPr>
              <w:jc w:val="center"/>
            </w:pPr>
            <w:r/>
            <w:r>
              <w:rPr>
                <w:rFonts w:ascii="Times New Roman" w:hAnsi="Times New Roman" w:eastAsia="微软雅黑"/>
                <w:b/>
                <w:i w:val="0"/>
                <w:color w:val="FFFFFF"/>
                <w:sz w:val="19"/>
              </w:rPr>
              <w:t>风险/病理样</w:t>
            </w:r>
          </w:p>
        </w:tc>
        <w:tc>
          <w:tcPr>
            <w:tcW w:type="dxa" w:w="2379"/>
            <w:shd w:val="clear" w:color="auto" w:fill="10305A"/>
          </w:tcPr>
          <w:p>
            <w:pPr>
              <w:jc w:val="center"/>
            </w:pPr>
            <w:r/>
            <w:r>
              <w:rPr>
                <w:rFonts w:ascii="Times New Roman" w:hAnsi="Times New Roman" w:eastAsia="微软雅黑"/>
                <w:b/>
                <w:i w:val="0"/>
                <w:color w:val="FFFFFF"/>
                <w:sz w:val="19"/>
              </w:rPr>
              <w:t>本课题的计算读数</w:t>
            </w:r>
          </w:p>
        </w:tc>
      </w:tr>
      <w:tr>
        <w:tc>
          <w:tcPr>
            <w:tcW w:type="dxa" w:w="2379"/>
          </w:tcPr>
          <w:p>
            <w:pPr>
              <w:spacing w:after="40" w:line="276" w:lineRule="auto"/>
            </w:pPr>
            <w:r/>
            <w:r>
              <w:rPr>
                <w:rFonts w:ascii="Times New Roman" w:hAnsi="Times New Roman" w:eastAsia="宋体"/>
                <w:b w:val="0"/>
                <w:i w:val="0"/>
                <w:color w:val="1F2937"/>
                <w:sz w:val="19"/>
              </w:rPr>
              <w:t>菌群</w:t>
            </w:r>
          </w:p>
        </w:tc>
        <w:tc>
          <w:tcPr>
            <w:tcW w:type="dxa" w:w="2379"/>
          </w:tcPr>
          <w:p>
            <w:pPr>
              <w:spacing w:after="40" w:line="276" w:lineRule="auto"/>
            </w:pPr>
            <w:r/>
            <w:r>
              <w:rPr>
                <w:rFonts w:ascii="Times New Roman" w:hAnsi="Times New Roman" w:eastAsia="宋体"/>
                <w:b w:val="0"/>
                <w:i w:val="0"/>
                <w:color w:val="1F2937"/>
                <w:sz w:val="19"/>
              </w:rPr>
              <w:t>抑制高风险菌并保留共生菌</w:t>
            </w:r>
          </w:p>
        </w:tc>
        <w:tc>
          <w:tcPr>
            <w:tcW w:type="dxa" w:w="2379"/>
          </w:tcPr>
          <w:p>
            <w:pPr>
              <w:spacing w:after="40" w:line="276" w:lineRule="auto"/>
            </w:pPr>
            <w:r/>
            <w:r>
              <w:rPr>
                <w:rFonts w:ascii="Times New Roman" w:hAnsi="Times New Roman" w:eastAsia="宋体"/>
                <w:b w:val="0"/>
                <w:i w:val="0"/>
                <w:color w:val="1F2937"/>
                <w:sz w:val="19"/>
              </w:rPr>
              <w:t>广谱破坏共生菌、增加 LPS</w:t>
            </w:r>
          </w:p>
        </w:tc>
        <w:tc>
          <w:tcPr>
            <w:tcW w:type="dxa" w:w="2379"/>
          </w:tcPr>
          <w:p>
            <w:pPr>
              <w:spacing w:after="40" w:line="276" w:lineRule="auto"/>
            </w:pPr>
            <w:r/>
            <w:r>
              <w:rPr>
                <w:rFonts w:ascii="Times New Roman" w:hAnsi="Times New Roman" w:eastAsia="宋体"/>
                <w:b w:val="0"/>
                <w:i w:val="0"/>
                <w:color w:val="1F2937"/>
                <w:sz w:val="19"/>
              </w:rPr>
              <w:t>膜选择性、生态模型</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炎症</w:t>
            </w:r>
          </w:p>
        </w:tc>
        <w:tc>
          <w:tcPr>
            <w:tcW w:type="dxa" w:w="2379"/>
            <w:shd w:val="clear" w:color="auto" w:fill="F2F5F9"/>
          </w:tcPr>
          <w:p>
            <w:pPr>
              <w:spacing w:after="40" w:line="276" w:lineRule="auto"/>
            </w:pPr>
            <w:r/>
            <w:r>
              <w:rPr>
                <w:rFonts w:ascii="Times New Roman" w:hAnsi="Times New Roman" w:eastAsia="宋体"/>
                <w:b w:val="0"/>
                <w:i w:val="0"/>
                <w:color w:val="1F2937"/>
                <w:sz w:val="19"/>
              </w:rPr>
              <w:t>降低 TLR4/FPR2/NLRP3/NF-kB</w:t>
            </w:r>
          </w:p>
        </w:tc>
        <w:tc>
          <w:tcPr>
            <w:tcW w:type="dxa" w:w="2379"/>
            <w:shd w:val="clear" w:color="auto" w:fill="F2F5F9"/>
          </w:tcPr>
          <w:p>
            <w:pPr>
              <w:spacing w:after="40" w:line="276" w:lineRule="auto"/>
            </w:pPr>
            <w:r/>
            <w:r>
              <w:rPr>
                <w:rFonts w:ascii="Times New Roman" w:hAnsi="Times New Roman" w:eastAsia="宋体"/>
                <w:b w:val="0"/>
                <w:i w:val="0"/>
                <w:color w:val="1F2937"/>
                <w:sz w:val="19"/>
              </w:rPr>
              <w:t>促进受体聚集、ROS、IL-6/TNF</w:t>
            </w:r>
          </w:p>
        </w:tc>
        <w:tc>
          <w:tcPr>
            <w:tcW w:type="dxa" w:w="2379"/>
            <w:shd w:val="clear" w:color="auto" w:fill="F2F5F9"/>
          </w:tcPr>
          <w:p>
            <w:pPr>
              <w:spacing w:after="40" w:line="276" w:lineRule="auto"/>
            </w:pPr>
            <w:r/>
            <w:r>
              <w:rPr>
                <w:rFonts w:ascii="Times New Roman" w:hAnsi="Times New Roman" w:eastAsia="宋体"/>
                <w:b w:val="0"/>
                <w:i w:val="0"/>
                <w:color w:val="1F2937"/>
                <w:sz w:val="19"/>
              </w:rPr>
              <w:t>受体界面、网络/ODE</w:t>
            </w:r>
          </w:p>
        </w:tc>
      </w:tr>
      <w:tr>
        <w:tc>
          <w:tcPr>
            <w:tcW w:type="dxa" w:w="2379"/>
          </w:tcPr>
          <w:p>
            <w:pPr>
              <w:spacing w:after="40" w:line="276" w:lineRule="auto"/>
            </w:pPr>
            <w:r/>
            <w:r>
              <w:rPr>
                <w:rFonts w:ascii="Times New Roman" w:hAnsi="Times New Roman" w:eastAsia="宋体"/>
                <w:b w:val="0"/>
                <w:i w:val="0"/>
                <w:color w:val="1F2937"/>
                <w:sz w:val="19"/>
              </w:rPr>
              <w:t>Aβ</w:t>
            </w:r>
          </w:p>
        </w:tc>
        <w:tc>
          <w:tcPr>
            <w:tcW w:type="dxa" w:w="2379"/>
          </w:tcPr>
          <w:p>
            <w:pPr>
              <w:spacing w:after="40" w:line="276" w:lineRule="auto"/>
            </w:pPr>
            <w:r/>
            <w:r>
              <w:rPr>
                <w:rFonts w:ascii="Times New Roman" w:hAnsi="Times New Roman" w:eastAsia="宋体"/>
                <w:b w:val="0"/>
                <w:i w:val="0"/>
                <w:color w:val="1F2937"/>
                <w:sz w:val="19"/>
              </w:rPr>
              <w:t>减少有毒寡聚体或促进清除</w:t>
            </w:r>
          </w:p>
        </w:tc>
        <w:tc>
          <w:tcPr>
            <w:tcW w:type="dxa" w:w="2379"/>
          </w:tcPr>
          <w:p>
            <w:pPr>
              <w:spacing w:after="40" w:line="276" w:lineRule="auto"/>
            </w:pPr>
            <w:r/>
            <w:r>
              <w:rPr>
                <w:rFonts w:ascii="Times New Roman" w:hAnsi="Times New Roman" w:eastAsia="宋体"/>
                <w:b w:val="0"/>
                <w:i w:val="0"/>
                <w:color w:val="1F2937"/>
                <w:sz w:val="19"/>
              </w:rPr>
              <w:t>稳定有毒寡聚体或促进成核</w:t>
            </w:r>
          </w:p>
        </w:tc>
        <w:tc>
          <w:tcPr>
            <w:tcW w:type="dxa" w:w="2379"/>
          </w:tcPr>
          <w:p>
            <w:pPr>
              <w:spacing w:after="40" w:line="276" w:lineRule="auto"/>
            </w:pPr>
            <w:r/>
            <w:r>
              <w:rPr>
                <w:rFonts w:ascii="Times New Roman" w:hAnsi="Times New Roman" w:eastAsia="宋体"/>
                <w:b w:val="0"/>
                <w:i w:val="0"/>
                <w:color w:val="1F2937"/>
                <w:sz w:val="19"/>
              </w:rPr>
              <w:t>寡聚态、β-sheet、PMF</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BBB</w:t>
            </w:r>
          </w:p>
        </w:tc>
        <w:tc>
          <w:tcPr>
            <w:tcW w:type="dxa" w:w="2379"/>
            <w:shd w:val="clear" w:color="auto" w:fill="F2F5F9"/>
          </w:tcPr>
          <w:p>
            <w:pPr>
              <w:spacing w:after="40" w:line="276" w:lineRule="auto"/>
            </w:pPr>
            <w:r/>
            <w:r>
              <w:rPr>
                <w:rFonts w:ascii="Times New Roman" w:hAnsi="Times New Roman" w:eastAsia="宋体"/>
                <w:b w:val="0"/>
                <w:i w:val="0"/>
                <w:color w:val="1F2937"/>
                <w:sz w:val="19"/>
              </w:rPr>
              <w:t>维持紧密连接或促进外排</w:t>
            </w:r>
          </w:p>
        </w:tc>
        <w:tc>
          <w:tcPr>
            <w:tcW w:type="dxa" w:w="2379"/>
            <w:shd w:val="clear" w:color="auto" w:fill="F2F5F9"/>
          </w:tcPr>
          <w:p>
            <w:pPr>
              <w:spacing w:after="40" w:line="276" w:lineRule="auto"/>
            </w:pPr>
            <w:r/>
            <w:r>
              <w:rPr>
                <w:rFonts w:ascii="Times New Roman" w:hAnsi="Times New Roman" w:eastAsia="宋体"/>
                <w:b w:val="0"/>
                <w:i w:val="0"/>
                <w:color w:val="1F2937"/>
                <w:sz w:val="19"/>
              </w:rPr>
              <w:t>破坏屏障或增加有害通量</w:t>
            </w:r>
          </w:p>
        </w:tc>
        <w:tc>
          <w:tcPr>
            <w:tcW w:type="dxa" w:w="2379"/>
            <w:shd w:val="clear" w:color="auto" w:fill="F2F5F9"/>
          </w:tcPr>
          <w:p>
            <w:pPr>
              <w:spacing w:after="40" w:line="276" w:lineRule="auto"/>
            </w:pPr>
            <w:r/>
            <w:r>
              <w:rPr>
                <w:rFonts w:ascii="Times New Roman" w:hAnsi="Times New Roman" w:eastAsia="宋体"/>
                <w:b w:val="0"/>
                <w:i w:val="0"/>
                <w:color w:val="1F2937"/>
                <w:sz w:val="19"/>
              </w:rPr>
              <w:t>膜 PMF、Papp、转运模型</w:t>
            </w:r>
          </w:p>
        </w:tc>
      </w:tr>
    </w:tbl>
    <w:p>
      <w:pPr>
        <w:spacing w:after="40"/>
      </w:pPr>
    </w:p>
    <w:p>
      <w:pPr>
        <w:spacing w:before="240" w:after="100" w:line="288" w:lineRule="auto"/>
      </w:pPr>
      <w:r>
        <w:rPr>
          <w:rFonts w:ascii="Times New Roman" w:hAnsi="Times New Roman" w:eastAsia="微软雅黑"/>
          <w:b/>
          <w:i w:val="0"/>
          <w:color w:val="10305A"/>
          <w:sz w:val="27"/>
        </w:rPr>
        <w:t>问题 6：抑制感染这一侧有哪些证据？</w:t>
      </w:r>
    </w:p>
    <w:p>
      <w:pPr>
        <w:spacing w:before="0" w:after="120" w:line="336" w:lineRule="auto"/>
        <w:ind w:firstLine="440"/>
      </w:pPr>
      <w:r>
        <w:rPr>
          <w:rFonts w:ascii="Times New Roman" w:hAnsi="Times New Roman" w:eastAsia="宋体"/>
          <w:b w:val="0"/>
          <w:i w:val="0"/>
          <w:color w:val="1F2937"/>
          <w:sz w:val="22"/>
        </w:rPr>
        <w:t>结论：Aβ/宿主 AMP 的抗感染证据包括体外抗菌活性、感染动物模型存活优势、病原体捕获和生物膜/膜破坏机制。它们支持“先天免疫效应分子”背景，但微生物源候选 AMP 是否对 AD 有保护作用，需要本课题逐条验证。[5，7，17，39]</w:t>
      </w:r>
    </w:p>
    <w:p>
      <w:pPr>
        <w:pStyle w:val="ListBullet"/>
        <w:spacing w:after="60" w:line="312" w:lineRule="auto"/>
      </w:pPr>
      <w:r>
        <w:rPr>
          <w:rFonts w:ascii="Times New Roman" w:hAnsi="Times New Roman" w:eastAsia="宋体"/>
          <w:b w:val="0"/>
          <w:i w:val="0"/>
          <w:color w:val="1F2937"/>
          <w:sz w:val="21"/>
        </w:rPr>
        <w:t>Aβ 对多种微生物有抗菌活性，Aβ 寡聚化与病原体捕获/膜作用有关。</w:t>
      </w:r>
    </w:p>
    <w:p>
      <w:pPr>
        <w:pStyle w:val="ListBullet"/>
        <w:spacing w:after="60" w:line="312" w:lineRule="auto"/>
      </w:pPr>
      <w:r>
        <w:rPr>
          <w:rFonts w:ascii="Times New Roman" w:hAnsi="Times New Roman" w:eastAsia="宋体"/>
          <w:b w:val="0"/>
          <w:i w:val="0"/>
          <w:color w:val="1F2937"/>
          <w:sz w:val="21"/>
        </w:rPr>
        <w:t>Aβ 可与病毒表面或细菌淀粉样蛋白相互作用，形成捕获、聚集或生物膜抑制效应。</w:t>
      </w:r>
    </w:p>
    <w:p>
      <w:pPr>
        <w:pStyle w:val="ListBullet"/>
        <w:spacing w:after="60" w:line="312" w:lineRule="auto"/>
      </w:pPr>
      <w:r>
        <w:rPr>
          <w:rFonts w:ascii="Times New Roman" w:hAnsi="Times New Roman" w:eastAsia="宋体"/>
          <w:b w:val="0"/>
          <w:i w:val="0"/>
          <w:color w:val="1F2937"/>
          <w:sz w:val="21"/>
        </w:rPr>
        <w:t>微生物源 AMP 需要用菌种/菌膜匹配的抑菌、膜通透性和选择性实验来验证，不可由宿主 Aβ 文献直接外推。</w:t>
      </w:r>
    </w:p>
    <w:p>
      <w:pPr>
        <w:spacing w:before="40" w:after="120" w:line="324" w:lineRule="auto"/>
        <w:ind w:firstLine="200"/>
      </w:pPr>
      <w:r>
        <w:rPr>
          <w:rFonts w:ascii="Times New Roman" w:hAnsi="Times New Roman" w:eastAsia="楷体"/>
          <w:b w:val="0"/>
          <w:i/>
          <w:color w:val="555555"/>
          <w:sz w:val="20"/>
        </w:rPr>
        <w:t>▶ 抑制感染是候选肽的一种功能方向，不等于治疗 AD；要进入 AD 保护性解释，还需屏障、炎症或 Aβ/Tau 连接。</w:t>
      </w:r>
    </w:p>
    <w:p>
      <w:pPr>
        <w:spacing w:before="240" w:after="100" w:line="288" w:lineRule="auto"/>
      </w:pPr>
      <w:r>
        <w:rPr>
          <w:rFonts w:ascii="Times New Roman" w:hAnsi="Times New Roman" w:eastAsia="微软雅黑"/>
          <w:b/>
          <w:i w:val="0"/>
          <w:color w:val="10305A"/>
          <w:sz w:val="27"/>
        </w:rPr>
        <w:t>问题 7：为什么 AD 组可能更多，和炎症是什么关系？</w:t>
      </w:r>
    </w:p>
    <w:p>
      <w:pPr>
        <w:spacing w:before="0" w:after="120" w:line="336" w:lineRule="auto"/>
        <w:ind w:firstLine="440"/>
      </w:pPr>
      <w:r>
        <w:rPr>
          <w:rFonts w:ascii="Times New Roman" w:hAnsi="Times New Roman" w:eastAsia="宋体"/>
          <w:b w:val="0"/>
          <w:i w:val="0"/>
          <w:color w:val="1F2937"/>
          <w:sz w:val="22"/>
        </w:rPr>
        <w:t>结论需要改成“为什么部分 AD 相关 AMP 可能更多”，而不是“所有抗菌肽都更多”。一种可检验的正反馈模型是：菌群失衡和肠屏障通透性增加 → LPS/微生物组分入血 → TLR4/NF-kB 与促炎因子增加 → 宿主 AMP/Aβ 诱导和微胶质激活 → 病理性聚集与屏障损伤进一步放大。这个模型解释的是宿主 AMP 和部分微生物源 AMP 的可能方向，不能代替实际差异结果。[13，3，41，9，10，20，21]</w:t>
      </w:r>
    </w:p>
    <w:p>
      <w:pPr>
        <w:pStyle w:val="ListBullet"/>
        <w:spacing w:after="60" w:line="312" w:lineRule="auto"/>
      </w:pPr>
      <w:r>
        <w:rPr>
          <w:rFonts w:ascii="Times New Roman" w:hAnsi="Times New Roman" w:eastAsia="宋体"/>
          <w:b w:val="0"/>
          <w:i w:val="0"/>
          <w:color w:val="1F2937"/>
          <w:sz w:val="21"/>
        </w:rPr>
        <w:t>LPS、LBP、CRP、sCD14 和肠屏障标志物可以作为肠—血—脑中间层。</w:t>
      </w:r>
    </w:p>
    <w:p>
      <w:pPr>
        <w:pStyle w:val="ListBullet"/>
        <w:spacing w:after="60" w:line="312" w:lineRule="auto"/>
      </w:pPr>
      <w:r>
        <w:rPr>
          <w:rFonts w:ascii="Times New Roman" w:hAnsi="Times New Roman" w:eastAsia="宋体"/>
          <w:b w:val="0"/>
          <w:i w:val="0"/>
          <w:color w:val="1F2937"/>
          <w:sz w:val="21"/>
        </w:rPr>
        <w:t>TNF-α 与 Aβ 可诱导 CAP37；LL-37 在感染/炎症和 AD 病理中具有宿主免疫模板意义。</w:t>
      </w:r>
    </w:p>
    <w:p>
      <w:pPr>
        <w:pStyle w:val="ListBullet"/>
        <w:spacing w:after="60" w:line="312" w:lineRule="auto"/>
      </w:pPr>
      <w:r>
        <w:rPr>
          <w:rFonts w:ascii="Times New Roman" w:hAnsi="Times New Roman" w:eastAsia="宋体"/>
          <w:b w:val="0"/>
          <w:i w:val="0"/>
          <w:color w:val="1F2937"/>
          <w:sz w:val="21"/>
        </w:rPr>
        <w:t>血清 LL-37 与纵向认知下降的关联可以作为临床方向参考，但仍不是微生物源候选的因果证明。[42]</w:t>
      </w:r>
    </w:p>
    <w:p>
      <w:pPr>
        <w:spacing w:before="40" w:after="120" w:line="324" w:lineRule="auto"/>
        <w:ind w:firstLine="200"/>
      </w:pPr>
      <w:r>
        <w:rPr>
          <w:rFonts w:ascii="Times New Roman" w:hAnsi="Times New Roman" w:eastAsia="楷体"/>
          <w:b w:val="0"/>
          <w:i/>
          <w:color w:val="555555"/>
          <w:sz w:val="20"/>
        </w:rPr>
        <w:t>▶ 本课题可以补上的空白是：AD 与健康、以及 NC/SCS/SCD/MCI/AD 各阶段中，微生物源 AMP 的编码潜力和表达支持如何变化。</w:t>
      </w:r>
    </w:p>
    <w:p>
      <w:pPr>
        <w:spacing w:before="160" w:after="80" w:line="324" w:lineRule="auto"/>
      </w:pPr>
      <w:r>
        <w:rPr>
          <w:rFonts w:ascii="Times New Roman" w:hAnsi="Times New Roman" w:eastAsia="微软雅黑"/>
          <w:b/>
          <w:i w:val="0"/>
          <w:color w:val="10305A"/>
          <w:sz w:val="21"/>
        </w:rPr>
        <w:t>表 6　“AD 组更多”应如何分层说</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10305A"/>
          </w:tcPr>
          <w:p>
            <w:pPr>
              <w:jc w:val="center"/>
            </w:pPr>
            <w:r/>
            <w:r>
              <w:rPr>
                <w:rFonts w:ascii="Times New Roman" w:hAnsi="Times New Roman" w:eastAsia="微软雅黑"/>
                <w:b/>
                <w:i w:val="0"/>
                <w:color w:val="FFFFFF"/>
                <w:sz w:val="19"/>
              </w:rPr>
              <w:t>对象/部位</w:t>
            </w:r>
          </w:p>
        </w:tc>
        <w:tc>
          <w:tcPr>
            <w:tcW w:type="dxa" w:w="3173"/>
            <w:shd w:val="clear" w:color="auto" w:fill="10305A"/>
          </w:tcPr>
          <w:p>
            <w:pPr>
              <w:jc w:val="center"/>
            </w:pPr>
            <w:r/>
            <w:r>
              <w:rPr>
                <w:rFonts w:ascii="Times New Roman" w:hAnsi="Times New Roman" w:eastAsia="微软雅黑"/>
                <w:b/>
                <w:i w:val="0"/>
                <w:color w:val="FFFFFF"/>
                <w:sz w:val="19"/>
              </w:rPr>
              <w:t>可说的方向</w:t>
            </w:r>
          </w:p>
        </w:tc>
        <w:tc>
          <w:tcPr>
            <w:tcW w:type="dxa" w:w="3173"/>
            <w:shd w:val="clear" w:color="auto" w:fill="10305A"/>
          </w:tcPr>
          <w:p>
            <w:pPr>
              <w:jc w:val="center"/>
            </w:pPr>
            <w:r/>
            <w:r>
              <w:rPr>
                <w:rFonts w:ascii="Times New Roman" w:hAnsi="Times New Roman" w:eastAsia="微软雅黑"/>
                <w:b/>
                <w:i w:val="0"/>
                <w:color w:val="FFFFFF"/>
                <w:sz w:val="19"/>
              </w:rPr>
              <w:t>不能泛化的地方</w:t>
            </w:r>
          </w:p>
        </w:tc>
      </w:tr>
      <w:tr>
        <w:tc>
          <w:tcPr>
            <w:tcW w:type="dxa" w:w="3173"/>
          </w:tcPr>
          <w:p>
            <w:pPr>
              <w:spacing w:after="40" w:line="276" w:lineRule="auto"/>
            </w:pPr>
            <w:r/>
            <w:r>
              <w:rPr>
                <w:rFonts w:ascii="Times New Roman" w:hAnsi="Times New Roman" w:eastAsia="宋体"/>
                <w:b w:val="0"/>
                <w:i w:val="0"/>
                <w:color w:val="1F2937"/>
                <w:sz w:val="19"/>
              </w:rPr>
              <w:t>部分宿主 AMP，脑/血/CSF</w:t>
            </w:r>
          </w:p>
        </w:tc>
        <w:tc>
          <w:tcPr>
            <w:tcW w:type="dxa" w:w="3173"/>
          </w:tcPr>
          <w:p>
            <w:pPr>
              <w:spacing w:after="40" w:line="276" w:lineRule="auto"/>
            </w:pPr>
            <w:r/>
            <w:r>
              <w:rPr>
                <w:rFonts w:ascii="Times New Roman" w:hAnsi="Times New Roman" w:eastAsia="宋体"/>
                <w:b w:val="0"/>
                <w:i w:val="0"/>
                <w:color w:val="1F2937"/>
                <w:sz w:val="19"/>
              </w:rPr>
              <w:t>若文献支持可说升高或与病程相关</w:t>
            </w:r>
          </w:p>
        </w:tc>
        <w:tc>
          <w:tcPr>
            <w:tcW w:type="dxa" w:w="3173"/>
          </w:tcPr>
          <w:p>
            <w:pPr>
              <w:spacing w:after="40" w:line="276" w:lineRule="auto"/>
            </w:pPr>
            <w:r/>
            <w:r>
              <w:rPr>
                <w:rFonts w:ascii="Times New Roman" w:hAnsi="Times New Roman" w:eastAsia="宋体"/>
                <w:b w:val="0"/>
                <w:i w:val="0"/>
                <w:color w:val="1F2937"/>
                <w:sz w:val="19"/>
              </w:rPr>
              <w:t>不是所有分子、所有标本都升高</w:t>
            </w:r>
          </w:p>
        </w:tc>
      </w:tr>
      <w:tr>
        <w:tc>
          <w:tcPr>
            <w:tcW w:type="dxa" w:w="3173"/>
            <w:shd w:val="clear" w:color="auto" w:fill="F2F5F9"/>
          </w:tcPr>
          <w:p>
            <w:pPr>
              <w:spacing w:after="40" w:line="276" w:lineRule="auto"/>
            </w:pPr>
            <w:r/>
            <w:r>
              <w:rPr>
                <w:rFonts w:ascii="Times New Roman" w:hAnsi="Times New Roman" w:eastAsia="宋体"/>
                <w:b w:val="0"/>
                <w:i w:val="0"/>
                <w:color w:val="1F2937"/>
                <w:sz w:val="19"/>
              </w:rPr>
              <w:t>Aβ/脑匀浆总抗菌活性</w:t>
            </w:r>
          </w:p>
        </w:tc>
        <w:tc>
          <w:tcPr>
            <w:tcW w:type="dxa" w:w="3173"/>
            <w:shd w:val="clear" w:color="auto" w:fill="F2F5F9"/>
          </w:tcPr>
          <w:p>
            <w:pPr>
              <w:spacing w:after="40" w:line="276" w:lineRule="auto"/>
            </w:pPr>
            <w:r/>
            <w:r>
              <w:rPr>
                <w:rFonts w:ascii="Times New Roman" w:hAnsi="Times New Roman" w:eastAsia="宋体"/>
                <w:b w:val="0"/>
                <w:i w:val="0"/>
                <w:color w:val="1F2937"/>
                <w:sz w:val="19"/>
              </w:rPr>
              <w:t>AD 侧可有升高证据</w:t>
            </w:r>
          </w:p>
        </w:tc>
        <w:tc>
          <w:tcPr>
            <w:tcW w:type="dxa" w:w="3173"/>
            <w:shd w:val="clear" w:color="auto" w:fill="F2F5F9"/>
          </w:tcPr>
          <w:p>
            <w:pPr>
              <w:spacing w:after="40" w:line="276" w:lineRule="auto"/>
            </w:pPr>
            <w:r/>
            <w:r>
              <w:rPr>
                <w:rFonts w:ascii="Times New Roman" w:hAnsi="Times New Roman" w:eastAsia="宋体"/>
                <w:b w:val="0"/>
                <w:i w:val="0"/>
                <w:color w:val="1F2937"/>
                <w:sz w:val="19"/>
              </w:rPr>
              <w:t>不能等同于微生物源 AMP</w:t>
            </w:r>
          </w:p>
        </w:tc>
      </w:tr>
      <w:tr>
        <w:tc>
          <w:tcPr>
            <w:tcW w:type="dxa" w:w="3173"/>
          </w:tcPr>
          <w:p>
            <w:pPr>
              <w:spacing w:after="40" w:line="276" w:lineRule="auto"/>
            </w:pPr>
            <w:r/>
            <w:r>
              <w:rPr>
                <w:rFonts w:ascii="Times New Roman" w:hAnsi="Times New Roman" w:eastAsia="宋体"/>
                <w:b w:val="0"/>
                <w:i w:val="0"/>
                <w:color w:val="1F2937"/>
                <w:sz w:val="19"/>
              </w:rPr>
              <w:t>微生物源 AMP，肠道宏基因组</w:t>
            </w:r>
          </w:p>
        </w:tc>
        <w:tc>
          <w:tcPr>
            <w:tcW w:type="dxa" w:w="3173"/>
          </w:tcPr>
          <w:p>
            <w:pPr>
              <w:spacing w:after="40" w:line="276" w:lineRule="auto"/>
            </w:pPr>
            <w:r/>
            <w:r>
              <w:rPr>
                <w:rFonts w:ascii="Times New Roman" w:hAnsi="Times New Roman" w:eastAsia="宋体"/>
                <w:b w:val="0"/>
                <w:i w:val="0"/>
                <w:color w:val="1F2937"/>
                <w:sz w:val="19"/>
              </w:rPr>
              <w:t>方向由本课题差异分析决定</w:t>
            </w:r>
          </w:p>
        </w:tc>
        <w:tc>
          <w:tcPr>
            <w:tcW w:type="dxa" w:w="3173"/>
          </w:tcPr>
          <w:p>
            <w:pPr>
              <w:spacing w:after="40" w:line="276" w:lineRule="auto"/>
            </w:pPr>
            <w:r/>
            <w:r>
              <w:rPr>
                <w:rFonts w:ascii="Times New Roman" w:hAnsi="Times New Roman" w:eastAsia="宋体"/>
                <w:b w:val="0"/>
                <w:i w:val="0"/>
                <w:color w:val="1F2937"/>
                <w:sz w:val="19"/>
              </w:rPr>
              <w:t>目前不能用宿主文献替代</w:t>
            </w:r>
          </w:p>
        </w:tc>
      </w:tr>
      <w:tr>
        <w:tc>
          <w:tcPr>
            <w:tcW w:type="dxa" w:w="3173"/>
            <w:shd w:val="clear" w:color="auto" w:fill="F2F5F9"/>
          </w:tcPr>
          <w:p>
            <w:pPr>
              <w:spacing w:after="40" w:line="276" w:lineRule="auto"/>
            </w:pPr>
            <w:r/>
            <w:r>
              <w:rPr>
                <w:rFonts w:ascii="Times New Roman" w:hAnsi="Times New Roman" w:eastAsia="宋体"/>
                <w:b w:val="0"/>
                <w:i w:val="0"/>
                <w:color w:val="1F2937"/>
                <w:sz w:val="19"/>
              </w:rPr>
              <w:t>乳铁蛋白等特定分子</w:t>
            </w:r>
          </w:p>
        </w:tc>
        <w:tc>
          <w:tcPr>
            <w:tcW w:type="dxa" w:w="3173"/>
            <w:shd w:val="clear" w:color="auto" w:fill="F2F5F9"/>
          </w:tcPr>
          <w:p>
            <w:pPr>
              <w:spacing w:after="40" w:line="276" w:lineRule="auto"/>
            </w:pPr>
            <w:r/>
            <w:r>
              <w:rPr>
                <w:rFonts w:ascii="Times New Roman" w:hAnsi="Times New Roman" w:eastAsia="宋体"/>
                <w:b w:val="0"/>
                <w:i w:val="0"/>
                <w:color w:val="1F2937"/>
                <w:sz w:val="19"/>
              </w:rPr>
              <w:t>可能下降</w:t>
            </w:r>
          </w:p>
        </w:tc>
        <w:tc>
          <w:tcPr>
            <w:tcW w:type="dxa" w:w="3173"/>
            <w:shd w:val="clear" w:color="auto" w:fill="F2F5F9"/>
          </w:tcPr>
          <w:p>
            <w:pPr>
              <w:spacing w:after="40" w:line="276" w:lineRule="auto"/>
            </w:pPr>
            <w:r/>
            <w:r>
              <w:rPr>
                <w:rFonts w:ascii="Times New Roman" w:hAnsi="Times New Roman" w:eastAsia="宋体"/>
                <w:b w:val="0"/>
                <w:i w:val="0"/>
                <w:color w:val="1F2937"/>
                <w:sz w:val="19"/>
              </w:rPr>
              <w:t>反例说明必须逐分子报告</w:t>
            </w:r>
          </w:p>
        </w:tc>
      </w:tr>
    </w:tbl>
    <w:p>
      <w:pPr>
        <w:spacing w:after="40"/>
      </w:pPr>
    </w:p>
    <w:p>
      <w:pPr>
        <w:spacing w:before="240" w:after="100" w:line="288" w:lineRule="auto"/>
      </w:pPr>
      <w:r>
        <w:rPr>
          <w:rFonts w:ascii="Times New Roman" w:hAnsi="Times New Roman" w:eastAsia="微软雅黑"/>
          <w:b/>
          <w:i w:val="0"/>
          <w:color w:val="10305A"/>
          <w:sz w:val="27"/>
        </w:rPr>
        <w:t>问题 8：正常人与 AD，谁的抗菌肽更多？</w:t>
      </w:r>
    </w:p>
    <w:p>
      <w:pPr>
        <w:spacing w:before="0" w:after="120" w:line="336" w:lineRule="auto"/>
        <w:ind w:firstLine="440"/>
      </w:pPr>
      <w:r>
        <w:rPr>
          <w:rFonts w:ascii="Times New Roman" w:hAnsi="Times New Roman" w:eastAsia="宋体"/>
          <w:b w:val="0"/>
          <w:i w:val="0"/>
          <w:color w:val="1F2937"/>
          <w:sz w:val="22"/>
        </w:rPr>
        <w:t>正确回答不是一句“AD 更多”，而是“要说明是哪一种肽、哪个部位、哪个阶段”。文献中 LL-37、β-防御素、CAP37、Aβ 及部分唾液/血液 AMP 方向可偏向 AD 升高，但乳铁蛋白等分子可下降。你的论文要把宿主 AMP 文献方向与微生物源 AMP 的实测/计算结果分开。[10，8，9，11，43，44]</w:t>
      </w:r>
    </w:p>
    <w:p>
      <w:pPr>
        <w:spacing w:before="160" w:after="80" w:line="324" w:lineRule="auto"/>
      </w:pPr>
      <w:r>
        <w:rPr>
          <w:rFonts w:ascii="Times New Roman" w:hAnsi="Times New Roman" w:eastAsia="微软雅黑"/>
          <w:b/>
          <w:i w:val="0"/>
          <w:color w:val="10305A"/>
          <w:sz w:val="21"/>
        </w:rPr>
        <w:t>表 7　按分子、部位和证据类型回答“谁更多”</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0305A"/>
          </w:tcPr>
          <w:p>
            <w:pPr>
              <w:jc w:val="center"/>
            </w:pPr>
            <w:r/>
            <w:r>
              <w:rPr>
                <w:rFonts w:ascii="Times New Roman" w:hAnsi="Times New Roman" w:eastAsia="微软雅黑"/>
                <w:b/>
                <w:i w:val="0"/>
                <w:color w:val="FFFFFF"/>
                <w:sz w:val="19"/>
              </w:rPr>
              <w:t>分子或指标</w:t>
            </w:r>
          </w:p>
        </w:tc>
        <w:tc>
          <w:tcPr>
            <w:tcW w:type="dxa" w:w="2379"/>
            <w:shd w:val="clear" w:color="auto" w:fill="10305A"/>
          </w:tcPr>
          <w:p>
            <w:pPr>
              <w:jc w:val="center"/>
            </w:pPr>
            <w:r/>
            <w:r>
              <w:rPr>
                <w:rFonts w:ascii="Times New Roman" w:hAnsi="Times New Roman" w:eastAsia="微软雅黑"/>
                <w:b/>
                <w:i w:val="0"/>
                <w:color w:val="FFFFFF"/>
                <w:sz w:val="19"/>
              </w:rPr>
              <w:t>文献方向</w:t>
            </w:r>
          </w:p>
        </w:tc>
        <w:tc>
          <w:tcPr>
            <w:tcW w:type="dxa" w:w="2379"/>
            <w:shd w:val="clear" w:color="auto" w:fill="10305A"/>
          </w:tcPr>
          <w:p>
            <w:pPr>
              <w:jc w:val="center"/>
            </w:pPr>
            <w:r/>
            <w:r>
              <w:rPr>
                <w:rFonts w:ascii="Times New Roman" w:hAnsi="Times New Roman" w:eastAsia="微软雅黑"/>
                <w:b/>
                <w:i w:val="0"/>
                <w:color w:val="FFFFFF"/>
                <w:sz w:val="19"/>
              </w:rPr>
              <w:t>部位/标本</w:t>
            </w:r>
          </w:p>
        </w:tc>
        <w:tc>
          <w:tcPr>
            <w:tcW w:type="dxa" w:w="2379"/>
            <w:shd w:val="clear" w:color="auto" w:fill="10305A"/>
          </w:tcPr>
          <w:p>
            <w:pPr>
              <w:jc w:val="center"/>
            </w:pPr>
            <w:r/>
            <w:r>
              <w:rPr>
                <w:rFonts w:ascii="Times New Roman" w:hAnsi="Times New Roman" w:eastAsia="微软雅黑"/>
                <w:b/>
                <w:i w:val="0"/>
                <w:color w:val="FFFFFF"/>
                <w:sz w:val="19"/>
              </w:rPr>
              <w:t>在本课题中如何使用</w:t>
            </w:r>
          </w:p>
        </w:tc>
      </w:tr>
      <w:tr>
        <w:tc>
          <w:tcPr>
            <w:tcW w:type="dxa" w:w="2379"/>
          </w:tcPr>
          <w:p>
            <w:pPr>
              <w:spacing w:after="40" w:line="276" w:lineRule="auto"/>
            </w:pPr>
            <w:r/>
            <w:r>
              <w:rPr>
                <w:rFonts w:ascii="Times New Roman" w:hAnsi="Times New Roman" w:eastAsia="宋体"/>
                <w:b w:val="0"/>
                <w:i w:val="0"/>
                <w:color w:val="1F2937"/>
                <w:sz w:val="19"/>
              </w:rPr>
              <w:t>LL-37</w:t>
            </w:r>
          </w:p>
        </w:tc>
        <w:tc>
          <w:tcPr>
            <w:tcW w:type="dxa" w:w="2379"/>
          </w:tcPr>
          <w:p>
            <w:pPr>
              <w:spacing w:after="40" w:line="276" w:lineRule="auto"/>
            </w:pPr>
            <w:r/>
            <w:r>
              <w:rPr>
                <w:rFonts w:ascii="Times New Roman" w:hAnsi="Times New Roman" w:eastAsia="宋体"/>
                <w:b w:val="0"/>
                <w:i w:val="0"/>
                <w:color w:val="1F2937"/>
                <w:sz w:val="19"/>
              </w:rPr>
              <w:t>部分研究为升高/与病程相关</w:t>
            </w:r>
          </w:p>
        </w:tc>
        <w:tc>
          <w:tcPr>
            <w:tcW w:type="dxa" w:w="2379"/>
          </w:tcPr>
          <w:p>
            <w:pPr>
              <w:spacing w:after="40" w:line="276" w:lineRule="auto"/>
            </w:pPr>
            <w:r/>
            <w:r>
              <w:rPr>
                <w:rFonts w:ascii="Times New Roman" w:hAnsi="Times New Roman" w:eastAsia="宋体"/>
                <w:b w:val="0"/>
                <w:i w:val="0"/>
                <w:color w:val="1F2937"/>
                <w:sz w:val="19"/>
              </w:rPr>
              <w:t>脑、血清</w:t>
            </w:r>
          </w:p>
        </w:tc>
        <w:tc>
          <w:tcPr>
            <w:tcW w:type="dxa" w:w="2379"/>
          </w:tcPr>
          <w:p>
            <w:pPr>
              <w:spacing w:after="40" w:line="276" w:lineRule="auto"/>
            </w:pPr>
            <w:r/>
            <w:r>
              <w:rPr>
                <w:rFonts w:ascii="Times New Roman" w:hAnsi="Times New Roman" w:eastAsia="宋体"/>
                <w:b w:val="0"/>
                <w:i w:val="0"/>
                <w:color w:val="1F2937"/>
                <w:sz w:val="19"/>
              </w:rPr>
              <w:t>宿主 AMP 病理模板</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β/α-防御素</w:t>
            </w:r>
          </w:p>
        </w:tc>
        <w:tc>
          <w:tcPr>
            <w:tcW w:type="dxa" w:w="2379"/>
            <w:shd w:val="clear" w:color="auto" w:fill="F2F5F9"/>
          </w:tcPr>
          <w:p>
            <w:pPr>
              <w:spacing w:after="40" w:line="276" w:lineRule="auto"/>
            </w:pPr>
            <w:r/>
            <w:r>
              <w:rPr>
                <w:rFonts w:ascii="Times New Roman" w:hAnsi="Times New Roman" w:eastAsia="宋体"/>
                <w:b w:val="0"/>
                <w:i w:val="0"/>
                <w:color w:val="1F2937"/>
                <w:sz w:val="19"/>
              </w:rPr>
              <w:t>部分组织/体液研究为升高</w:t>
            </w:r>
          </w:p>
        </w:tc>
        <w:tc>
          <w:tcPr>
            <w:tcW w:type="dxa" w:w="2379"/>
            <w:shd w:val="clear" w:color="auto" w:fill="F2F5F9"/>
          </w:tcPr>
          <w:p>
            <w:pPr>
              <w:spacing w:after="40" w:line="276" w:lineRule="auto"/>
            </w:pPr>
            <w:r/>
            <w:r>
              <w:rPr>
                <w:rFonts w:ascii="Times New Roman" w:hAnsi="Times New Roman" w:eastAsia="宋体"/>
                <w:b w:val="0"/>
                <w:i w:val="0"/>
                <w:color w:val="1F2937"/>
                <w:sz w:val="19"/>
              </w:rPr>
              <w:t>脑、唾液、血液、CSF</w:t>
            </w:r>
          </w:p>
        </w:tc>
        <w:tc>
          <w:tcPr>
            <w:tcW w:type="dxa" w:w="2379"/>
            <w:shd w:val="clear" w:color="auto" w:fill="F2F5F9"/>
          </w:tcPr>
          <w:p>
            <w:pPr>
              <w:spacing w:after="40" w:line="276" w:lineRule="auto"/>
            </w:pPr>
            <w:r/>
            <w:r>
              <w:rPr>
                <w:rFonts w:ascii="Times New Roman" w:hAnsi="Times New Roman" w:eastAsia="宋体"/>
                <w:b w:val="0"/>
                <w:i w:val="0"/>
                <w:color w:val="1F2937"/>
                <w:sz w:val="19"/>
              </w:rPr>
              <w:t>宿主防御背景</w:t>
            </w:r>
          </w:p>
        </w:tc>
      </w:tr>
      <w:tr>
        <w:tc>
          <w:tcPr>
            <w:tcW w:type="dxa" w:w="2379"/>
          </w:tcPr>
          <w:p>
            <w:pPr>
              <w:spacing w:after="40" w:line="276" w:lineRule="auto"/>
            </w:pPr>
            <w:r/>
            <w:r>
              <w:rPr>
                <w:rFonts w:ascii="Times New Roman" w:hAnsi="Times New Roman" w:eastAsia="宋体"/>
                <w:b w:val="0"/>
                <w:i w:val="0"/>
                <w:color w:val="1F2937"/>
                <w:sz w:val="19"/>
              </w:rPr>
              <w:t>CAP37</w:t>
            </w:r>
          </w:p>
        </w:tc>
        <w:tc>
          <w:tcPr>
            <w:tcW w:type="dxa" w:w="2379"/>
          </w:tcPr>
          <w:p>
            <w:pPr>
              <w:spacing w:after="40" w:line="276" w:lineRule="auto"/>
            </w:pPr>
            <w:r/>
            <w:r>
              <w:rPr>
                <w:rFonts w:ascii="Times New Roman" w:hAnsi="Times New Roman" w:eastAsia="宋体"/>
                <w:b w:val="0"/>
                <w:i w:val="0"/>
                <w:color w:val="1F2937"/>
                <w:sz w:val="19"/>
              </w:rPr>
              <w:t>AD 皮层神经元增加，可被炎症/ Aβ 诱导</w:t>
            </w:r>
          </w:p>
        </w:tc>
        <w:tc>
          <w:tcPr>
            <w:tcW w:type="dxa" w:w="2379"/>
          </w:tcPr>
          <w:p>
            <w:pPr>
              <w:spacing w:after="40" w:line="276" w:lineRule="auto"/>
            </w:pPr>
            <w:r/>
            <w:r>
              <w:rPr>
                <w:rFonts w:ascii="Times New Roman" w:hAnsi="Times New Roman" w:eastAsia="宋体"/>
                <w:b w:val="0"/>
                <w:i w:val="0"/>
                <w:color w:val="1F2937"/>
                <w:sz w:val="19"/>
              </w:rPr>
              <w:t>脑组织</w:t>
            </w:r>
          </w:p>
        </w:tc>
        <w:tc>
          <w:tcPr>
            <w:tcW w:type="dxa" w:w="2379"/>
          </w:tcPr>
          <w:p>
            <w:pPr>
              <w:spacing w:after="40" w:line="276" w:lineRule="auto"/>
            </w:pPr>
            <w:r/>
            <w:r>
              <w:rPr>
                <w:rFonts w:ascii="Times New Roman" w:hAnsi="Times New Roman" w:eastAsia="宋体"/>
                <w:b w:val="0"/>
                <w:i w:val="0"/>
                <w:color w:val="1F2937"/>
                <w:sz w:val="19"/>
              </w:rPr>
              <w:t>炎症诱导模板</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Aβ42/总抗菌活性</w:t>
            </w:r>
          </w:p>
        </w:tc>
        <w:tc>
          <w:tcPr>
            <w:tcW w:type="dxa" w:w="2379"/>
            <w:shd w:val="clear" w:color="auto" w:fill="F2F5F9"/>
          </w:tcPr>
          <w:p>
            <w:pPr>
              <w:spacing w:after="40" w:line="276" w:lineRule="auto"/>
            </w:pPr>
            <w:r/>
            <w:r>
              <w:rPr>
                <w:rFonts w:ascii="Times New Roman" w:hAnsi="Times New Roman" w:eastAsia="宋体"/>
                <w:b w:val="0"/>
                <w:i w:val="0"/>
                <w:color w:val="1F2937"/>
                <w:sz w:val="19"/>
              </w:rPr>
              <w:t>AD 脑侧可升高</w:t>
            </w:r>
          </w:p>
        </w:tc>
        <w:tc>
          <w:tcPr>
            <w:tcW w:type="dxa" w:w="2379"/>
            <w:shd w:val="clear" w:color="auto" w:fill="F2F5F9"/>
          </w:tcPr>
          <w:p>
            <w:pPr>
              <w:spacing w:after="40" w:line="276" w:lineRule="auto"/>
            </w:pPr>
            <w:r/>
            <w:r>
              <w:rPr>
                <w:rFonts w:ascii="Times New Roman" w:hAnsi="Times New Roman" w:eastAsia="宋体"/>
                <w:b w:val="0"/>
                <w:i w:val="0"/>
                <w:color w:val="1F2937"/>
                <w:sz w:val="19"/>
              </w:rPr>
              <w:t>脑匀浆/病理组织</w:t>
            </w:r>
          </w:p>
        </w:tc>
        <w:tc>
          <w:tcPr>
            <w:tcW w:type="dxa" w:w="2379"/>
            <w:shd w:val="clear" w:color="auto" w:fill="F2F5F9"/>
          </w:tcPr>
          <w:p>
            <w:pPr>
              <w:spacing w:after="40" w:line="276" w:lineRule="auto"/>
            </w:pPr>
            <w:r/>
            <w:r>
              <w:rPr>
                <w:rFonts w:ascii="Times New Roman" w:hAnsi="Times New Roman" w:eastAsia="宋体"/>
                <w:b w:val="0"/>
                <w:i w:val="0"/>
                <w:color w:val="1F2937"/>
                <w:sz w:val="19"/>
              </w:rPr>
              <w:t>宿主抗菌—病理双重属性</w:t>
            </w:r>
          </w:p>
        </w:tc>
      </w:tr>
      <w:tr>
        <w:tc>
          <w:tcPr>
            <w:tcW w:type="dxa" w:w="2379"/>
          </w:tcPr>
          <w:p>
            <w:pPr>
              <w:spacing w:after="40" w:line="276" w:lineRule="auto"/>
            </w:pPr>
            <w:r/>
            <w:r>
              <w:rPr>
                <w:rFonts w:ascii="Times New Roman" w:hAnsi="Times New Roman" w:eastAsia="宋体"/>
                <w:b w:val="0"/>
                <w:i w:val="0"/>
                <w:color w:val="1F2937"/>
                <w:sz w:val="19"/>
              </w:rPr>
              <w:t>乳铁蛋白</w:t>
            </w:r>
          </w:p>
        </w:tc>
        <w:tc>
          <w:tcPr>
            <w:tcW w:type="dxa" w:w="2379"/>
          </w:tcPr>
          <w:p>
            <w:pPr>
              <w:spacing w:after="40" w:line="276" w:lineRule="auto"/>
            </w:pPr>
            <w:r/>
            <w:r>
              <w:rPr>
                <w:rFonts w:ascii="Times New Roman" w:hAnsi="Times New Roman" w:eastAsia="宋体"/>
                <w:b w:val="0"/>
                <w:i w:val="0"/>
                <w:color w:val="1F2937"/>
                <w:sz w:val="19"/>
              </w:rPr>
              <w:t>部分研究为下降</w:t>
            </w:r>
          </w:p>
        </w:tc>
        <w:tc>
          <w:tcPr>
            <w:tcW w:type="dxa" w:w="2379"/>
          </w:tcPr>
          <w:p>
            <w:pPr>
              <w:spacing w:after="40" w:line="276" w:lineRule="auto"/>
            </w:pPr>
            <w:r/>
            <w:r>
              <w:rPr>
                <w:rFonts w:ascii="Times New Roman" w:hAnsi="Times New Roman" w:eastAsia="宋体"/>
                <w:b w:val="0"/>
                <w:i w:val="0"/>
                <w:color w:val="1F2937"/>
                <w:sz w:val="19"/>
              </w:rPr>
              <w:t>唾液</w:t>
            </w:r>
          </w:p>
        </w:tc>
        <w:tc>
          <w:tcPr>
            <w:tcW w:type="dxa" w:w="2379"/>
          </w:tcPr>
          <w:p>
            <w:pPr>
              <w:spacing w:after="40" w:line="276" w:lineRule="auto"/>
            </w:pPr>
            <w:r/>
            <w:r>
              <w:rPr>
                <w:rFonts w:ascii="Times New Roman" w:hAnsi="Times New Roman" w:eastAsia="宋体"/>
                <w:b w:val="0"/>
                <w:i w:val="0"/>
                <w:color w:val="1F2937"/>
                <w:sz w:val="19"/>
              </w:rPr>
              <w:t>证明不存在普遍同向变化</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微生物源 AMP</w:t>
            </w:r>
          </w:p>
        </w:tc>
        <w:tc>
          <w:tcPr>
            <w:tcW w:type="dxa" w:w="2379"/>
            <w:shd w:val="clear" w:color="auto" w:fill="F2F5F9"/>
          </w:tcPr>
          <w:p>
            <w:pPr>
              <w:spacing w:after="40" w:line="276" w:lineRule="auto"/>
            </w:pPr>
            <w:r/>
            <w:r>
              <w:rPr>
                <w:rFonts w:ascii="Times New Roman" w:hAnsi="Times New Roman" w:eastAsia="宋体"/>
                <w:b w:val="0"/>
                <w:i w:val="0"/>
                <w:color w:val="1F2937"/>
                <w:sz w:val="19"/>
              </w:rPr>
              <w:t>必须由本课题结果决定</w:t>
            </w:r>
          </w:p>
        </w:tc>
        <w:tc>
          <w:tcPr>
            <w:tcW w:type="dxa" w:w="2379"/>
            <w:shd w:val="clear" w:color="auto" w:fill="F2F5F9"/>
          </w:tcPr>
          <w:p>
            <w:pPr>
              <w:spacing w:after="40" w:line="276" w:lineRule="auto"/>
            </w:pPr>
            <w:r/>
            <w:r>
              <w:rPr>
                <w:rFonts w:ascii="Times New Roman" w:hAnsi="Times New Roman" w:eastAsia="宋体"/>
                <w:b w:val="0"/>
                <w:i w:val="0"/>
                <w:color w:val="1F2937"/>
                <w:sz w:val="19"/>
              </w:rPr>
              <w:t>肠道宏基因组/宏蛋白组</w:t>
            </w:r>
          </w:p>
        </w:tc>
        <w:tc>
          <w:tcPr>
            <w:tcW w:type="dxa" w:w="2379"/>
            <w:shd w:val="clear" w:color="auto" w:fill="F2F5F9"/>
          </w:tcPr>
          <w:p>
            <w:pPr>
              <w:spacing w:after="40" w:line="276" w:lineRule="auto"/>
            </w:pPr>
            <w:r/>
            <w:r>
              <w:rPr>
                <w:rFonts w:ascii="Times New Roman" w:hAnsi="Times New Roman" w:eastAsia="宋体"/>
                <w:b w:val="0"/>
                <w:i w:val="0"/>
                <w:color w:val="1F2937"/>
                <w:sz w:val="19"/>
              </w:rPr>
              <w:t>论文主结果对象</w:t>
            </w:r>
          </w:p>
        </w:tc>
      </w:tr>
    </w:tbl>
    <w:p>
      <w:pPr>
        <w:spacing w:after="40"/>
      </w:pPr>
    </w:p>
    <w:p>
      <w:pPr>
        <w:spacing w:before="40" w:after="120" w:line="324" w:lineRule="auto"/>
        <w:ind w:firstLine="200"/>
      </w:pPr>
      <w:r>
        <w:rPr>
          <w:rFonts w:ascii="Times New Roman" w:hAnsi="Times New Roman" w:eastAsia="楷体"/>
          <w:b w:val="0"/>
          <w:i/>
          <w:color w:val="555555"/>
          <w:sz w:val="20"/>
        </w:rPr>
        <w:t>▶ 如果老师问“AD 组的抗菌肽是否更多”，最安全的答复是：部分宿主 AMP/总抗菌活性在文献中偏高，但不是普遍规律；本课题重点检验微生物源 AMP 的分子和阶段特异差异。</w:t>
      </w:r>
    </w:p>
    <w:p>
      <w:pPr>
        <w:spacing w:before="320" w:after="160" w:line="288" w:lineRule="auto"/>
      </w:pPr>
      <w:r>
        <w:rPr>
          <w:rFonts w:ascii="Times New Roman" w:hAnsi="Times New Roman" w:eastAsia="微软雅黑"/>
          <w:b/>
          <w:i w:val="0"/>
          <w:color w:val="10305A"/>
          <w:sz w:val="34"/>
        </w:rPr>
        <w:t>二、分子机制一：AChE-Aβ 复合物为什么可作为计算参照</w:t>
      </w:r>
    </w:p>
    <w:p>
      <w:pPr>
        <w:spacing w:before="0" w:after="120" w:line="336" w:lineRule="auto"/>
        <w:ind w:firstLine="440"/>
      </w:pPr>
      <w:r>
        <w:rPr>
          <w:rFonts w:ascii="Times New Roman" w:hAnsi="Times New Roman" w:eastAsia="宋体"/>
          <w:b w:val="0"/>
          <w:i w:val="0"/>
          <w:color w:val="1F2937"/>
          <w:sz w:val="22"/>
        </w:rPr>
        <w:t>AChE-Aβ 研究可以作为“如何从结构模拟提出可检验界面假设”的方法学参照：模拟观察 Aβ 在 AChE 表面的稳定停留、主要接触区段和构象变化，再由 PAS 相关实验判断其是否促进聚集。它不是在证明你的微生物源 AMP 已经作用于 AChE，而是提供一个可迁移的建模框架。[45，46，47，48，49]</w:t>
      </w:r>
    </w:p>
    <w:p>
      <w:pPr>
        <w:pStyle w:val="ListBullet"/>
        <w:spacing w:after="60" w:line="312" w:lineRule="auto"/>
      </w:pPr>
      <w:r>
        <w:rPr>
          <w:rFonts w:ascii="Times New Roman" w:hAnsi="Times New Roman" w:eastAsia="宋体"/>
          <w:b w:val="0"/>
          <w:i w:val="0"/>
          <w:color w:val="1F2937"/>
          <w:sz w:val="21"/>
        </w:rPr>
        <w:t>AChE 的 PAS 附近和 344-361 区段可作为候选肽竞争或调节的结构假设区域。</w:t>
      </w:r>
    </w:p>
    <w:p>
      <w:pPr>
        <w:pStyle w:val="ListBullet"/>
        <w:spacing w:after="60" w:line="312" w:lineRule="auto"/>
      </w:pPr>
      <w:r>
        <w:rPr>
          <w:rFonts w:ascii="Times New Roman" w:hAnsi="Times New Roman" w:eastAsia="宋体"/>
          <w:b w:val="0"/>
          <w:i w:val="0"/>
          <w:color w:val="1F2937"/>
          <w:sz w:val="21"/>
        </w:rPr>
        <w:t>AChE 促 Aβ 构象转换和成核的方向，必须结合对接、长时间 MD、自由能和实验读数。</w:t>
      </w:r>
    </w:p>
    <w:p>
      <w:pPr>
        <w:pStyle w:val="ListBullet"/>
        <w:spacing w:after="60" w:line="312" w:lineRule="auto"/>
      </w:pPr>
      <w:r>
        <w:rPr>
          <w:rFonts w:ascii="Times New Roman" w:hAnsi="Times New Roman" w:eastAsia="宋体"/>
          <w:b w:val="0"/>
          <w:i w:val="0"/>
          <w:color w:val="1F2937"/>
          <w:sz w:val="21"/>
        </w:rPr>
        <w:t>BChE 与 Aβ 的相反效应提醒我们：界面性质决定方向，不能看到“结合”就判定促聚集。[49]</w:t>
      </w:r>
    </w:p>
    <w:p>
      <w:pPr>
        <w:spacing w:before="160" w:after="80" w:line="324" w:lineRule="auto"/>
      </w:pPr>
      <w:r>
        <w:rPr>
          <w:rFonts w:ascii="Times New Roman" w:hAnsi="Times New Roman" w:eastAsia="微软雅黑"/>
          <w:b/>
          <w:i w:val="0"/>
          <w:color w:val="10305A"/>
          <w:sz w:val="21"/>
        </w:rPr>
        <w:t>表 8　AChE-Aβ 参照体系的结果与边界</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10305A"/>
          </w:tcPr>
          <w:p>
            <w:pPr>
              <w:jc w:val="center"/>
            </w:pPr>
            <w:r/>
            <w:r>
              <w:rPr>
                <w:rFonts w:ascii="Times New Roman" w:hAnsi="Times New Roman" w:eastAsia="微软雅黑"/>
                <w:b/>
                <w:i w:val="0"/>
                <w:color w:val="FFFFFF"/>
                <w:sz w:val="19"/>
              </w:rPr>
              <w:t>参照结果</w:t>
            </w:r>
          </w:p>
        </w:tc>
        <w:tc>
          <w:tcPr>
            <w:tcW w:type="dxa" w:w="3173"/>
            <w:shd w:val="clear" w:color="auto" w:fill="10305A"/>
          </w:tcPr>
          <w:p>
            <w:pPr>
              <w:jc w:val="center"/>
            </w:pPr>
            <w:r/>
            <w:r>
              <w:rPr>
                <w:rFonts w:ascii="Times New Roman" w:hAnsi="Times New Roman" w:eastAsia="微软雅黑"/>
                <w:b/>
                <w:i w:val="0"/>
                <w:color w:val="FFFFFF"/>
                <w:sz w:val="19"/>
              </w:rPr>
              <w:t>可以借鉴的地方</w:t>
            </w:r>
          </w:p>
        </w:tc>
        <w:tc>
          <w:tcPr>
            <w:tcW w:type="dxa" w:w="3173"/>
            <w:shd w:val="clear" w:color="auto" w:fill="10305A"/>
          </w:tcPr>
          <w:p>
            <w:pPr>
              <w:jc w:val="center"/>
            </w:pPr>
            <w:r/>
            <w:r>
              <w:rPr>
                <w:rFonts w:ascii="Times New Roman" w:hAnsi="Times New Roman" w:eastAsia="微软雅黑"/>
                <w:b/>
                <w:i w:val="0"/>
                <w:color w:val="FFFFFF"/>
                <w:sz w:val="19"/>
              </w:rPr>
              <w:t>不能直接外推的地方</w:t>
            </w:r>
          </w:p>
        </w:tc>
      </w:tr>
      <w:tr>
        <w:tc>
          <w:tcPr>
            <w:tcW w:type="dxa" w:w="3173"/>
          </w:tcPr>
          <w:p>
            <w:pPr>
              <w:spacing w:after="40" w:line="276" w:lineRule="auto"/>
            </w:pPr>
            <w:r/>
            <w:r>
              <w:rPr>
                <w:rFonts w:ascii="Times New Roman" w:hAnsi="Times New Roman" w:eastAsia="宋体"/>
                <w:b w:val="0"/>
                <w:i w:val="0"/>
                <w:color w:val="1F2937"/>
                <w:sz w:val="19"/>
              </w:rPr>
              <w:t>1 μs 模拟中复合物稳定</w:t>
            </w:r>
          </w:p>
        </w:tc>
        <w:tc>
          <w:tcPr>
            <w:tcW w:type="dxa" w:w="3173"/>
          </w:tcPr>
          <w:p>
            <w:pPr>
              <w:spacing w:after="40" w:line="276" w:lineRule="auto"/>
            </w:pPr>
            <w:r/>
            <w:r>
              <w:rPr>
                <w:rFonts w:ascii="Times New Roman" w:hAnsi="Times New Roman" w:eastAsia="宋体"/>
                <w:b w:val="0"/>
                <w:i w:val="0"/>
                <w:color w:val="1F2937"/>
                <w:sz w:val="19"/>
              </w:rPr>
              <w:t>报告接触、驻留和构象稳定性的方法</w:t>
            </w:r>
          </w:p>
        </w:tc>
        <w:tc>
          <w:tcPr>
            <w:tcW w:type="dxa" w:w="3173"/>
          </w:tcPr>
          <w:p>
            <w:pPr>
              <w:spacing w:after="40" w:line="276" w:lineRule="auto"/>
            </w:pPr>
            <w:r/>
            <w:r>
              <w:rPr>
                <w:rFonts w:ascii="Times New Roman" w:hAnsi="Times New Roman" w:eastAsia="宋体"/>
                <w:b w:val="0"/>
                <w:i w:val="0"/>
                <w:color w:val="1F2937"/>
                <w:sz w:val="19"/>
              </w:rPr>
              <w:t>未知微生物 AMP 也会稳定</w:t>
            </w:r>
          </w:p>
        </w:tc>
      </w:tr>
      <w:tr>
        <w:tc>
          <w:tcPr>
            <w:tcW w:type="dxa" w:w="3173"/>
            <w:shd w:val="clear" w:color="auto" w:fill="F2F5F9"/>
          </w:tcPr>
          <w:p>
            <w:pPr>
              <w:spacing w:after="40" w:line="276" w:lineRule="auto"/>
            </w:pPr>
            <w:r/>
            <w:r>
              <w:rPr>
                <w:rFonts w:ascii="Times New Roman" w:hAnsi="Times New Roman" w:eastAsia="宋体"/>
                <w:b w:val="0"/>
                <w:i w:val="0"/>
                <w:color w:val="1F2937"/>
                <w:sz w:val="19"/>
              </w:rPr>
              <w:t>Aβ 主要停留 344-361</w:t>
            </w:r>
          </w:p>
        </w:tc>
        <w:tc>
          <w:tcPr>
            <w:tcW w:type="dxa" w:w="3173"/>
            <w:shd w:val="clear" w:color="auto" w:fill="F2F5F9"/>
          </w:tcPr>
          <w:p>
            <w:pPr>
              <w:spacing w:after="40" w:line="276" w:lineRule="auto"/>
            </w:pPr>
            <w:r/>
            <w:r>
              <w:rPr>
                <w:rFonts w:ascii="Times New Roman" w:hAnsi="Times New Roman" w:eastAsia="宋体"/>
                <w:b w:val="0"/>
                <w:i w:val="0"/>
                <w:color w:val="1F2937"/>
                <w:sz w:val="19"/>
              </w:rPr>
              <w:t>设置竞争/调节界面的假设</w:t>
            </w:r>
          </w:p>
        </w:tc>
        <w:tc>
          <w:tcPr>
            <w:tcW w:type="dxa" w:w="3173"/>
            <w:shd w:val="clear" w:color="auto" w:fill="F2F5F9"/>
          </w:tcPr>
          <w:p>
            <w:pPr>
              <w:spacing w:after="40" w:line="276" w:lineRule="auto"/>
            </w:pPr>
            <w:r/>
            <w:r>
              <w:rPr>
                <w:rFonts w:ascii="Times New Roman" w:hAnsi="Times New Roman" w:eastAsia="宋体"/>
                <w:b w:val="0"/>
                <w:i w:val="0"/>
                <w:color w:val="1F2937"/>
                <w:sz w:val="19"/>
              </w:rPr>
              <w:t>该区域不是所有候选肽的必然靶点</w:t>
            </w:r>
          </w:p>
        </w:tc>
      </w:tr>
      <w:tr>
        <w:tc>
          <w:tcPr>
            <w:tcW w:type="dxa" w:w="3173"/>
          </w:tcPr>
          <w:p>
            <w:pPr>
              <w:spacing w:after="40" w:line="276" w:lineRule="auto"/>
            </w:pPr>
            <w:r/>
            <w:r>
              <w:rPr>
                <w:rFonts w:ascii="Times New Roman" w:hAnsi="Times New Roman" w:eastAsia="宋体"/>
                <w:b w:val="0"/>
                <w:i w:val="0"/>
                <w:color w:val="1F2937"/>
                <w:sz w:val="19"/>
              </w:rPr>
              <w:t>PAS 抑制剂阻断促聚集</w:t>
            </w:r>
          </w:p>
        </w:tc>
        <w:tc>
          <w:tcPr>
            <w:tcW w:type="dxa" w:w="3173"/>
          </w:tcPr>
          <w:p>
            <w:pPr>
              <w:spacing w:after="40" w:line="276" w:lineRule="auto"/>
            </w:pPr>
            <w:r/>
            <w:r>
              <w:rPr>
                <w:rFonts w:ascii="Times New Roman" w:hAnsi="Times New Roman" w:eastAsia="宋体"/>
                <w:b w:val="0"/>
                <w:i w:val="0"/>
                <w:color w:val="1F2937"/>
                <w:sz w:val="19"/>
              </w:rPr>
              <w:t>把 MD 假设与酶/聚集实验联接</w:t>
            </w:r>
          </w:p>
        </w:tc>
        <w:tc>
          <w:tcPr>
            <w:tcW w:type="dxa" w:w="3173"/>
          </w:tcPr>
          <w:p>
            <w:pPr>
              <w:spacing w:after="40" w:line="276" w:lineRule="auto"/>
            </w:pPr>
            <w:r/>
            <w:r>
              <w:rPr>
                <w:rFonts w:ascii="Times New Roman" w:hAnsi="Times New Roman" w:eastAsia="宋体"/>
                <w:b w:val="0"/>
                <w:i w:val="0"/>
                <w:color w:val="1F2937"/>
                <w:sz w:val="19"/>
              </w:rPr>
              <w:t>docking 分数不等于阻断实验</w:t>
            </w:r>
          </w:p>
        </w:tc>
      </w:tr>
      <w:tr>
        <w:tc>
          <w:tcPr>
            <w:tcW w:type="dxa" w:w="3173"/>
            <w:shd w:val="clear" w:color="auto" w:fill="F2F5F9"/>
          </w:tcPr>
          <w:p>
            <w:pPr>
              <w:spacing w:after="40" w:line="276" w:lineRule="auto"/>
            </w:pPr>
            <w:r/>
            <w:r>
              <w:rPr>
                <w:rFonts w:ascii="Times New Roman" w:hAnsi="Times New Roman" w:eastAsia="宋体"/>
                <w:b w:val="0"/>
                <w:i w:val="0"/>
                <w:color w:val="1F2937"/>
                <w:sz w:val="19"/>
              </w:rPr>
              <w:t>BChE 延缓纤维形成</w:t>
            </w:r>
          </w:p>
        </w:tc>
        <w:tc>
          <w:tcPr>
            <w:tcW w:type="dxa" w:w="3173"/>
            <w:shd w:val="clear" w:color="auto" w:fill="F2F5F9"/>
          </w:tcPr>
          <w:p>
            <w:pPr>
              <w:spacing w:after="40" w:line="276" w:lineRule="auto"/>
            </w:pPr>
            <w:r/>
            <w:r>
              <w:rPr>
                <w:rFonts w:ascii="Times New Roman" w:hAnsi="Times New Roman" w:eastAsia="宋体"/>
                <w:b w:val="0"/>
                <w:i w:val="0"/>
                <w:color w:val="1F2937"/>
                <w:sz w:val="19"/>
              </w:rPr>
              <w:t>说明结合方向可相反</w:t>
            </w:r>
          </w:p>
        </w:tc>
        <w:tc>
          <w:tcPr>
            <w:tcW w:type="dxa" w:w="3173"/>
            <w:shd w:val="clear" w:color="auto" w:fill="F2F5F9"/>
          </w:tcPr>
          <w:p>
            <w:pPr>
              <w:spacing w:after="40" w:line="276" w:lineRule="auto"/>
            </w:pPr>
            <w:r/>
            <w:r>
              <w:rPr>
                <w:rFonts w:ascii="Times New Roman" w:hAnsi="Times New Roman" w:eastAsia="宋体"/>
                <w:b w:val="0"/>
                <w:i w:val="0"/>
                <w:color w:val="1F2937"/>
                <w:sz w:val="19"/>
              </w:rPr>
              <w:t>不能事先判定保护或风险</w:t>
            </w:r>
          </w:p>
        </w:tc>
      </w:tr>
    </w:tbl>
    <w:p>
      <w:pPr>
        <w:spacing w:after="40"/>
      </w:pPr>
    </w:p>
    <w:p>
      <w:pPr>
        <w:spacing w:before="0" w:after="120" w:line="336" w:lineRule="auto"/>
        <w:ind w:firstLine="440"/>
      </w:pPr>
      <w:r>
        <w:rPr>
          <w:rFonts w:ascii="Times New Roman" w:hAnsi="Times New Roman" w:eastAsia="宋体"/>
          <w:b w:val="0"/>
          <w:i w:val="0"/>
          <w:color w:val="1F2937"/>
          <w:sz w:val="22"/>
        </w:rPr>
        <w:t>对候选微生物 AMP 的建议计算顺序是：先预测肽构象并做柔性对接，再对 AChE-PAS/344-361 和 Aβ 片段分别做至少 3 条独立 MD；比较界面接触、β-sheet、聚集自由能和 Aβ 构象分布。若没有表达/暴露证据，该结果只能作为结构线索。</w:t>
      </w:r>
    </w:p>
    <w:p>
      <w:pPr>
        <w:spacing w:before="320" w:after="160" w:line="288" w:lineRule="auto"/>
      </w:pPr>
      <w:r>
        <w:rPr>
          <w:rFonts w:ascii="Times New Roman" w:hAnsi="Times New Roman" w:eastAsia="微软雅黑"/>
          <w:b/>
          <w:i w:val="0"/>
          <w:color w:val="10305A"/>
          <w:sz w:val="34"/>
        </w:rPr>
        <w:t>三、分子机制二：抗菌肽与 Aβ 的交叉成核</w:t>
      </w:r>
    </w:p>
    <w:p>
      <w:pPr>
        <w:spacing w:before="0" w:after="120" w:line="336" w:lineRule="auto"/>
        <w:ind w:firstLine="440"/>
      </w:pPr>
      <w:r>
        <w:rPr>
          <w:rFonts w:ascii="Times New Roman" w:hAnsi="Times New Roman" w:eastAsia="宋体"/>
          <w:b w:val="0"/>
          <w:i w:val="0"/>
          <w:color w:val="1F2937"/>
          <w:sz w:val="22"/>
        </w:rPr>
        <w:t>抗菌肽和淀粉样肽都可能具有两亲性、带电界面和 β 结构倾向，因此可能发生交叉成核、表面催化或结构重定向。文献中既有抑制纤维延伸，也有稳定寡聚体或促进异常聚集的可能；这正是为什么必须观察聚集路径和毒性，而不能只报告结合能。[50，51，52，53，38，37，54，55，56]</w:t>
      </w:r>
    </w:p>
    <w:p>
      <w:pPr>
        <w:spacing w:before="160" w:after="80" w:line="324" w:lineRule="auto"/>
      </w:pPr>
      <w:r>
        <w:rPr>
          <w:rFonts w:ascii="Times New Roman" w:hAnsi="Times New Roman" w:eastAsia="微软雅黑"/>
          <w:b/>
          <w:i w:val="0"/>
          <w:color w:val="10305A"/>
          <w:sz w:val="21"/>
        </w:rPr>
        <w:t>表 9　交叉成核的三种可能方向</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0305A"/>
          </w:tcPr>
          <w:p>
            <w:pPr>
              <w:jc w:val="center"/>
            </w:pPr>
            <w:r/>
            <w:r>
              <w:rPr>
                <w:rFonts w:ascii="Times New Roman" w:hAnsi="Times New Roman" w:eastAsia="微软雅黑"/>
                <w:b/>
                <w:i w:val="0"/>
                <w:color w:val="FFFFFF"/>
                <w:sz w:val="19"/>
              </w:rPr>
              <w:t>方向</w:t>
            </w:r>
          </w:p>
        </w:tc>
        <w:tc>
          <w:tcPr>
            <w:tcW w:type="dxa" w:w="2379"/>
            <w:shd w:val="clear" w:color="auto" w:fill="10305A"/>
          </w:tcPr>
          <w:p>
            <w:pPr>
              <w:jc w:val="center"/>
            </w:pPr>
            <w:r/>
            <w:r>
              <w:rPr>
                <w:rFonts w:ascii="Times New Roman" w:hAnsi="Times New Roman" w:eastAsia="微软雅黑"/>
                <w:b/>
                <w:i w:val="0"/>
                <w:color w:val="FFFFFF"/>
                <w:sz w:val="19"/>
              </w:rPr>
              <w:t>分子读数</w:t>
            </w:r>
          </w:p>
        </w:tc>
        <w:tc>
          <w:tcPr>
            <w:tcW w:type="dxa" w:w="2379"/>
            <w:shd w:val="clear" w:color="auto" w:fill="10305A"/>
          </w:tcPr>
          <w:p>
            <w:pPr>
              <w:jc w:val="center"/>
            </w:pPr>
            <w:r/>
            <w:r>
              <w:rPr>
                <w:rFonts w:ascii="Times New Roman" w:hAnsi="Times New Roman" w:eastAsia="微软雅黑"/>
                <w:b/>
                <w:i w:val="0"/>
                <w:color w:val="FFFFFF"/>
                <w:sz w:val="19"/>
              </w:rPr>
              <w:t>病理解释</w:t>
            </w:r>
          </w:p>
        </w:tc>
        <w:tc>
          <w:tcPr>
            <w:tcW w:type="dxa" w:w="2379"/>
            <w:shd w:val="clear" w:color="auto" w:fill="10305A"/>
          </w:tcPr>
          <w:p>
            <w:pPr>
              <w:jc w:val="center"/>
            </w:pPr>
            <w:r/>
            <w:r>
              <w:rPr>
                <w:rFonts w:ascii="Times New Roman" w:hAnsi="Times New Roman" w:eastAsia="微软雅黑"/>
                <w:b/>
                <w:i w:val="0"/>
                <w:color w:val="FFFFFF"/>
                <w:sz w:val="19"/>
              </w:rPr>
              <w:t>必须增加的验证</w:t>
            </w:r>
          </w:p>
        </w:tc>
      </w:tr>
      <w:tr>
        <w:tc>
          <w:tcPr>
            <w:tcW w:type="dxa" w:w="2379"/>
          </w:tcPr>
          <w:p>
            <w:pPr>
              <w:spacing w:after="40" w:line="276" w:lineRule="auto"/>
            </w:pPr>
            <w:r/>
            <w:r>
              <w:rPr>
                <w:rFonts w:ascii="Times New Roman" w:hAnsi="Times New Roman" w:eastAsia="宋体"/>
                <w:b w:val="0"/>
                <w:i w:val="0"/>
                <w:color w:val="1F2937"/>
                <w:sz w:val="19"/>
              </w:rPr>
              <w:t>抑制/无毒化</w:t>
            </w:r>
          </w:p>
        </w:tc>
        <w:tc>
          <w:tcPr>
            <w:tcW w:type="dxa" w:w="2379"/>
          </w:tcPr>
          <w:p>
            <w:pPr>
              <w:spacing w:after="40" w:line="276" w:lineRule="auto"/>
            </w:pPr>
            <w:r/>
            <w:r>
              <w:rPr>
                <w:rFonts w:ascii="Times New Roman" w:hAnsi="Times New Roman" w:eastAsia="宋体"/>
                <w:b w:val="0"/>
                <w:i w:val="0"/>
                <w:color w:val="1F2937"/>
                <w:sz w:val="19"/>
              </w:rPr>
              <w:t>β-sheet 下降、毒性寡聚体减少、off-pathway 复合物</w:t>
            </w:r>
          </w:p>
        </w:tc>
        <w:tc>
          <w:tcPr>
            <w:tcW w:type="dxa" w:w="2379"/>
          </w:tcPr>
          <w:p>
            <w:pPr>
              <w:spacing w:after="40" w:line="276" w:lineRule="auto"/>
            </w:pPr>
            <w:r/>
            <w:r>
              <w:rPr>
                <w:rFonts w:ascii="Times New Roman" w:hAnsi="Times New Roman" w:eastAsia="宋体"/>
                <w:b w:val="0"/>
                <w:i w:val="0"/>
                <w:color w:val="1F2937"/>
                <w:sz w:val="19"/>
              </w:rPr>
              <w:t>潜在保护/抑制肽</w:t>
            </w:r>
          </w:p>
        </w:tc>
        <w:tc>
          <w:tcPr>
            <w:tcW w:type="dxa" w:w="2379"/>
          </w:tcPr>
          <w:p>
            <w:pPr>
              <w:spacing w:after="40" w:line="276" w:lineRule="auto"/>
            </w:pPr>
            <w:r/>
            <w:r>
              <w:rPr>
                <w:rFonts w:ascii="Times New Roman" w:hAnsi="Times New Roman" w:eastAsia="宋体"/>
                <w:b w:val="0"/>
                <w:i w:val="0"/>
                <w:color w:val="1F2937"/>
                <w:sz w:val="19"/>
              </w:rPr>
              <w:t>细胞毒性、清除和浓度关系</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重定向但未知</w:t>
            </w:r>
          </w:p>
        </w:tc>
        <w:tc>
          <w:tcPr>
            <w:tcW w:type="dxa" w:w="2379"/>
            <w:shd w:val="clear" w:color="auto" w:fill="F2F5F9"/>
          </w:tcPr>
          <w:p>
            <w:pPr>
              <w:spacing w:after="40" w:line="276" w:lineRule="auto"/>
            </w:pPr>
            <w:r/>
            <w:r>
              <w:rPr>
                <w:rFonts w:ascii="Times New Roman" w:hAnsi="Times New Roman" w:eastAsia="宋体"/>
                <w:b w:val="0"/>
                <w:i w:val="0"/>
                <w:color w:val="1F2937"/>
                <w:sz w:val="19"/>
              </w:rPr>
              <w:t>纤维减少但寡聚体驻留增加</w:t>
            </w:r>
          </w:p>
        </w:tc>
        <w:tc>
          <w:tcPr>
            <w:tcW w:type="dxa" w:w="2379"/>
            <w:shd w:val="clear" w:color="auto" w:fill="F2F5F9"/>
          </w:tcPr>
          <w:p>
            <w:pPr>
              <w:spacing w:after="40" w:line="276" w:lineRule="auto"/>
            </w:pPr>
            <w:r/>
            <w:r>
              <w:rPr>
                <w:rFonts w:ascii="Times New Roman" w:hAnsi="Times New Roman" w:eastAsia="宋体"/>
                <w:b w:val="0"/>
                <w:i w:val="0"/>
                <w:color w:val="1F2937"/>
                <w:sz w:val="19"/>
              </w:rPr>
              <w:t>可能把病理停留在另一条路径</w:t>
            </w:r>
          </w:p>
        </w:tc>
        <w:tc>
          <w:tcPr>
            <w:tcW w:type="dxa" w:w="2379"/>
            <w:shd w:val="clear" w:color="auto" w:fill="F2F5F9"/>
          </w:tcPr>
          <w:p>
            <w:pPr>
              <w:spacing w:after="40" w:line="276" w:lineRule="auto"/>
            </w:pPr>
            <w:r/>
            <w:r>
              <w:rPr>
                <w:rFonts w:ascii="Times New Roman" w:hAnsi="Times New Roman" w:eastAsia="宋体"/>
                <w:b w:val="0"/>
                <w:i w:val="0"/>
                <w:color w:val="1F2937"/>
                <w:sz w:val="19"/>
              </w:rPr>
              <w:t>寡聚体谱和时间序列</w:t>
            </w:r>
          </w:p>
        </w:tc>
      </w:tr>
      <w:tr>
        <w:tc>
          <w:tcPr>
            <w:tcW w:type="dxa" w:w="2379"/>
          </w:tcPr>
          <w:p>
            <w:pPr>
              <w:spacing w:after="40" w:line="276" w:lineRule="auto"/>
            </w:pPr>
            <w:r/>
            <w:r>
              <w:rPr>
                <w:rFonts w:ascii="Times New Roman" w:hAnsi="Times New Roman" w:eastAsia="宋体"/>
                <w:b w:val="0"/>
                <w:i w:val="0"/>
                <w:color w:val="1F2937"/>
                <w:sz w:val="19"/>
              </w:rPr>
              <w:t>促进病理</w:t>
            </w:r>
          </w:p>
        </w:tc>
        <w:tc>
          <w:tcPr>
            <w:tcW w:type="dxa" w:w="2379"/>
          </w:tcPr>
          <w:p>
            <w:pPr>
              <w:spacing w:after="40" w:line="276" w:lineRule="auto"/>
            </w:pPr>
            <w:r/>
            <w:r>
              <w:rPr>
                <w:rFonts w:ascii="Times New Roman" w:hAnsi="Times New Roman" w:eastAsia="宋体"/>
                <w:b w:val="0"/>
                <w:i w:val="0"/>
                <w:color w:val="1F2937"/>
                <w:sz w:val="19"/>
              </w:rPr>
              <w:t>成核加快、膜活性和有毒寡聚体增加</w:t>
            </w:r>
          </w:p>
        </w:tc>
        <w:tc>
          <w:tcPr>
            <w:tcW w:type="dxa" w:w="2379"/>
          </w:tcPr>
          <w:p>
            <w:pPr>
              <w:spacing w:after="40" w:line="276" w:lineRule="auto"/>
            </w:pPr>
            <w:r/>
            <w:r>
              <w:rPr>
                <w:rFonts w:ascii="Times New Roman" w:hAnsi="Times New Roman" w:eastAsia="宋体"/>
                <w:b w:val="0"/>
                <w:i w:val="0"/>
                <w:color w:val="1F2937"/>
                <w:sz w:val="19"/>
              </w:rPr>
              <w:t>风险样机制线索</w:t>
            </w:r>
          </w:p>
        </w:tc>
        <w:tc>
          <w:tcPr>
            <w:tcW w:type="dxa" w:w="2379"/>
          </w:tcPr>
          <w:p>
            <w:pPr>
              <w:spacing w:after="40" w:line="276" w:lineRule="auto"/>
            </w:pPr>
            <w:r/>
            <w:r>
              <w:rPr>
                <w:rFonts w:ascii="Times New Roman" w:hAnsi="Times New Roman" w:eastAsia="宋体"/>
                <w:b w:val="0"/>
                <w:i w:val="0"/>
                <w:color w:val="1F2937"/>
                <w:sz w:val="19"/>
              </w:rPr>
              <w:t>细胞/动物和阻断实验</w:t>
            </w:r>
          </w:p>
        </w:tc>
      </w:tr>
    </w:tbl>
    <w:p>
      <w:pPr>
        <w:spacing w:after="40"/>
      </w:pPr>
    </w:p>
    <w:p>
      <w:pPr>
        <w:spacing w:before="0" w:after="120" w:line="336" w:lineRule="auto"/>
        <w:ind w:firstLine="440"/>
      </w:pPr>
      <w:r>
        <w:rPr>
          <w:rFonts w:ascii="Times New Roman" w:hAnsi="Times New Roman" w:eastAsia="宋体"/>
          <w:b w:val="0"/>
          <w:i w:val="0"/>
          <w:color w:val="1F2937"/>
          <w:sz w:val="22"/>
        </w:rPr>
        <w:t>AChE-PAS、Aβ 生成区、膜表面是三个可计算的候选介入位置。对你的论文，这三者应排在差异、来源菌和表达证据之后。尤其是 Aβ 结合的解释，必须和微生物源肽的肠道来源、稳定性以及是否入血放在同一张机制卡片里。</w:t>
      </w:r>
    </w:p>
    <w:p>
      <w:pPr>
        <w:spacing w:before="160" w:after="80" w:line="324" w:lineRule="auto"/>
      </w:pPr>
      <w:r>
        <w:rPr>
          <w:rFonts w:ascii="Times New Roman" w:hAnsi="Times New Roman" w:eastAsia="微软雅黑"/>
          <w:b/>
          <w:i w:val="0"/>
          <w:color w:val="10305A"/>
          <w:sz w:val="21"/>
        </w:rPr>
        <w:t>表 10　Aβ/AMP 模拟的验收指标</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0305A"/>
          </w:tcPr>
          <w:p>
            <w:pPr>
              <w:jc w:val="center"/>
            </w:pPr>
            <w:r/>
            <w:r>
              <w:rPr>
                <w:rFonts w:ascii="Times New Roman" w:hAnsi="Times New Roman" w:eastAsia="微软雅黑"/>
                <w:b/>
                <w:i w:val="0"/>
                <w:color w:val="FFFFFF"/>
                <w:sz w:val="19"/>
              </w:rPr>
              <w:t>指标</w:t>
            </w:r>
          </w:p>
        </w:tc>
        <w:tc>
          <w:tcPr>
            <w:tcW w:type="dxa" w:w="2379"/>
            <w:shd w:val="clear" w:color="auto" w:fill="10305A"/>
          </w:tcPr>
          <w:p>
            <w:pPr>
              <w:jc w:val="center"/>
            </w:pPr>
            <w:r/>
            <w:r>
              <w:rPr>
                <w:rFonts w:ascii="Times New Roman" w:hAnsi="Times New Roman" w:eastAsia="微软雅黑"/>
                <w:b/>
                <w:i w:val="0"/>
                <w:color w:val="FFFFFF"/>
                <w:sz w:val="19"/>
              </w:rPr>
              <w:t>保护方向</w:t>
            </w:r>
          </w:p>
        </w:tc>
        <w:tc>
          <w:tcPr>
            <w:tcW w:type="dxa" w:w="2379"/>
            <w:shd w:val="clear" w:color="auto" w:fill="10305A"/>
          </w:tcPr>
          <w:p>
            <w:pPr>
              <w:jc w:val="center"/>
            </w:pPr>
            <w:r/>
            <w:r>
              <w:rPr>
                <w:rFonts w:ascii="Times New Roman" w:hAnsi="Times New Roman" w:eastAsia="微软雅黑"/>
                <w:b/>
                <w:i w:val="0"/>
                <w:color w:val="FFFFFF"/>
                <w:sz w:val="19"/>
              </w:rPr>
              <w:t>风险方向</w:t>
            </w:r>
          </w:p>
        </w:tc>
        <w:tc>
          <w:tcPr>
            <w:tcW w:type="dxa" w:w="2379"/>
            <w:shd w:val="clear" w:color="auto" w:fill="10305A"/>
          </w:tcPr>
          <w:p>
            <w:pPr>
              <w:jc w:val="center"/>
            </w:pPr>
            <w:r/>
            <w:r>
              <w:rPr>
                <w:rFonts w:ascii="Times New Roman" w:hAnsi="Times New Roman" w:eastAsia="微软雅黑"/>
                <w:b/>
                <w:i w:val="0"/>
                <w:color w:val="FFFFFF"/>
                <w:sz w:val="19"/>
              </w:rPr>
              <w:t>未知时如何报告</w:t>
            </w:r>
          </w:p>
        </w:tc>
      </w:tr>
      <w:tr>
        <w:tc>
          <w:tcPr>
            <w:tcW w:type="dxa" w:w="2379"/>
          </w:tcPr>
          <w:p>
            <w:pPr>
              <w:spacing w:after="40" w:line="276" w:lineRule="auto"/>
            </w:pPr>
            <w:r/>
            <w:r>
              <w:rPr>
                <w:rFonts w:ascii="Times New Roman" w:hAnsi="Times New Roman" w:eastAsia="宋体"/>
                <w:b w:val="0"/>
                <w:i w:val="0"/>
                <w:color w:val="1F2937"/>
                <w:sz w:val="19"/>
              </w:rPr>
              <w:t>结合自由能/PMF</w:t>
            </w:r>
          </w:p>
        </w:tc>
        <w:tc>
          <w:tcPr>
            <w:tcW w:type="dxa" w:w="2379"/>
          </w:tcPr>
          <w:p>
            <w:pPr>
              <w:spacing w:after="40" w:line="276" w:lineRule="auto"/>
            </w:pPr>
            <w:r/>
            <w:r>
              <w:rPr>
                <w:rFonts w:ascii="Times New Roman" w:hAnsi="Times New Roman" w:eastAsia="宋体"/>
                <w:b w:val="0"/>
                <w:i w:val="0"/>
                <w:color w:val="1F2937"/>
                <w:sz w:val="19"/>
              </w:rPr>
              <w:t>稳定合理复合物</w:t>
            </w:r>
          </w:p>
        </w:tc>
        <w:tc>
          <w:tcPr>
            <w:tcW w:type="dxa" w:w="2379"/>
          </w:tcPr>
          <w:p>
            <w:pPr>
              <w:spacing w:after="40" w:line="276" w:lineRule="auto"/>
            </w:pPr>
            <w:r/>
            <w:r>
              <w:rPr>
                <w:rFonts w:ascii="Times New Roman" w:hAnsi="Times New Roman" w:eastAsia="宋体"/>
                <w:b w:val="0"/>
                <w:i w:val="0"/>
                <w:color w:val="1F2937"/>
                <w:sz w:val="19"/>
              </w:rPr>
              <w:t>稳定病理构象或界面</w:t>
            </w:r>
          </w:p>
        </w:tc>
        <w:tc>
          <w:tcPr>
            <w:tcW w:type="dxa" w:w="2379"/>
          </w:tcPr>
          <w:p>
            <w:pPr>
              <w:spacing w:after="40" w:line="276" w:lineRule="auto"/>
            </w:pPr>
            <w:r/>
            <w:r>
              <w:rPr>
                <w:rFonts w:ascii="Times New Roman" w:hAnsi="Times New Roman" w:eastAsia="宋体"/>
                <w:b w:val="0"/>
                <w:i w:val="0"/>
                <w:color w:val="1F2937"/>
                <w:sz w:val="19"/>
              </w:rPr>
              <w:t>只报趋势和误差</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β-sheet/二级结构</w:t>
            </w:r>
          </w:p>
        </w:tc>
        <w:tc>
          <w:tcPr>
            <w:tcW w:type="dxa" w:w="2379"/>
            <w:shd w:val="clear" w:color="auto" w:fill="F2F5F9"/>
          </w:tcPr>
          <w:p>
            <w:pPr>
              <w:spacing w:after="40" w:line="276" w:lineRule="auto"/>
            </w:pPr>
            <w:r/>
            <w:r>
              <w:rPr>
                <w:rFonts w:ascii="Times New Roman" w:hAnsi="Times New Roman" w:eastAsia="宋体"/>
                <w:b w:val="0"/>
                <w:i w:val="0"/>
                <w:color w:val="1F2937"/>
                <w:sz w:val="19"/>
              </w:rPr>
              <w:t>减少有毒路径</w:t>
            </w:r>
          </w:p>
        </w:tc>
        <w:tc>
          <w:tcPr>
            <w:tcW w:type="dxa" w:w="2379"/>
            <w:shd w:val="clear" w:color="auto" w:fill="F2F5F9"/>
          </w:tcPr>
          <w:p>
            <w:pPr>
              <w:spacing w:after="40" w:line="276" w:lineRule="auto"/>
            </w:pPr>
            <w:r/>
            <w:r>
              <w:rPr>
                <w:rFonts w:ascii="Times New Roman" w:hAnsi="Times New Roman" w:eastAsia="宋体"/>
                <w:b w:val="0"/>
                <w:i w:val="0"/>
                <w:color w:val="1F2937"/>
                <w:sz w:val="19"/>
              </w:rPr>
              <w:t>增加或延长病理构象</w:t>
            </w:r>
          </w:p>
        </w:tc>
        <w:tc>
          <w:tcPr>
            <w:tcW w:type="dxa" w:w="2379"/>
            <w:shd w:val="clear" w:color="auto" w:fill="F2F5F9"/>
          </w:tcPr>
          <w:p>
            <w:pPr>
              <w:spacing w:after="40" w:line="276" w:lineRule="auto"/>
            </w:pPr>
            <w:r/>
            <w:r>
              <w:rPr>
                <w:rFonts w:ascii="Times New Roman" w:hAnsi="Times New Roman" w:eastAsia="宋体"/>
                <w:b w:val="0"/>
                <w:i w:val="0"/>
                <w:color w:val="1F2937"/>
                <w:sz w:val="19"/>
              </w:rPr>
              <w:t>区分单体/寡聚体/纤维</w:t>
            </w:r>
          </w:p>
        </w:tc>
      </w:tr>
      <w:tr>
        <w:tc>
          <w:tcPr>
            <w:tcW w:type="dxa" w:w="2379"/>
          </w:tcPr>
          <w:p>
            <w:pPr>
              <w:spacing w:after="40" w:line="276" w:lineRule="auto"/>
            </w:pPr>
            <w:r/>
            <w:r>
              <w:rPr>
                <w:rFonts w:ascii="Times New Roman" w:hAnsi="Times New Roman" w:eastAsia="宋体"/>
                <w:b w:val="0"/>
                <w:i w:val="0"/>
                <w:color w:val="1F2937"/>
                <w:sz w:val="19"/>
              </w:rPr>
              <w:t>寡聚体分布</w:t>
            </w:r>
          </w:p>
        </w:tc>
        <w:tc>
          <w:tcPr>
            <w:tcW w:type="dxa" w:w="2379"/>
          </w:tcPr>
          <w:p>
            <w:pPr>
              <w:spacing w:after="40" w:line="276" w:lineRule="auto"/>
            </w:pPr>
            <w:r/>
            <w:r>
              <w:rPr>
                <w:rFonts w:ascii="Times New Roman" w:hAnsi="Times New Roman" w:eastAsia="宋体"/>
                <w:b w:val="0"/>
                <w:i w:val="0"/>
                <w:color w:val="1F2937"/>
                <w:sz w:val="19"/>
              </w:rPr>
              <w:t>降低 on-pathway 寡聚体</w:t>
            </w:r>
          </w:p>
        </w:tc>
        <w:tc>
          <w:tcPr>
            <w:tcW w:type="dxa" w:w="2379"/>
          </w:tcPr>
          <w:p>
            <w:pPr>
              <w:spacing w:after="40" w:line="276" w:lineRule="auto"/>
            </w:pPr>
            <w:r/>
            <w:r>
              <w:rPr>
                <w:rFonts w:ascii="Times New Roman" w:hAnsi="Times New Roman" w:eastAsia="宋体"/>
                <w:b w:val="0"/>
                <w:i w:val="0"/>
                <w:color w:val="1F2937"/>
                <w:sz w:val="19"/>
              </w:rPr>
              <w:t>提高有毒寡聚体比例</w:t>
            </w:r>
          </w:p>
        </w:tc>
        <w:tc>
          <w:tcPr>
            <w:tcW w:type="dxa" w:w="2379"/>
          </w:tcPr>
          <w:p>
            <w:pPr>
              <w:spacing w:after="40" w:line="276" w:lineRule="auto"/>
            </w:pPr>
            <w:r/>
            <w:r>
              <w:rPr>
                <w:rFonts w:ascii="Times New Roman" w:hAnsi="Times New Roman" w:eastAsia="宋体"/>
                <w:b w:val="0"/>
                <w:i w:val="0"/>
                <w:color w:val="1F2937"/>
                <w:sz w:val="19"/>
              </w:rPr>
              <w:t>不能只看纤维终点</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膜效应</w:t>
            </w:r>
          </w:p>
        </w:tc>
        <w:tc>
          <w:tcPr>
            <w:tcW w:type="dxa" w:w="2379"/>
            <w:shd w:val="clear" w:color="auto" w:fill="F2F5F9"/>
          </w:tcPr>
          <w:p>
            <w:pPr>
              <w:spacing w:after="40" w:line="276" w:lineRule="auto"/>
            </w:pPr>
            <w:r/>
            <w:r>
              <w:rPr>
                <w:rFonts w:ascii="Times New Roman" w:hAnsi="Times New Roman" w:eastAsia="宋体"/>
                <w:b w:val="0"/>
                <w:i w:val="0"/>
                <w:color w:val="1F2937"/>
                <w:sz w:val="19"/>
              </w:rPr>
              <w:t>降低泄漏/微胶质激活</w:t>
            </w:r>
          </w:p>
        </w:tc>
        <w:tc>
          <w:tcPr>
            <w:tcW w:type="dxa" w:w="2379"/>
            <w:shd w:val="clear" w:color="auto" w:fill="F2F5F9"/>
          </w:tcPr>
          <w:p>
            <w:pPr>
              <w:spacing w:after="40" w:line="276" w:lineRule="auto"/>
            </w:pPr>
            <w:r/>
            <w:r>
              <w:rPr>
                <w:rFonts w:ascii="Times New Roman" w:hAnsi="Times New Roman" w:eastAsia="宋体"/>
                <w:b w:val="0"/>
                <w:i w:val="0"/>
                <w:color w:val="1F2937"/>
                <w:sz w:val="19"/>
              </w:rPr>
              <w:t>增强泄漏/ROS</w:t>
            </w:r>
          </w:p>
        </w:tc>
        <w:tc>
          <w:tcPr>
            <w:tcW w:type="dxa" w:w="2379"/>
            <w:shd w:val="clear" w:color="auto" w:fill="F2F5F9"/>
          </w:tcPr>
          <w:p>
            <w:pPr>
              <w:spacing w:after="40" w:line="276" w:lineRule="auto"/>
            </w:pPr>
            <w:r/>
            <w:r>
              <w:rPr>
                <w:rFonts w:ascii="Times New Roman" w:hAnsi="Times New Roman" w:eastAsia="宋体"/>
                <w:b w:val="0"/>
                <w:i w:val="0"/>
                <w:color w:val="1F2937"/>
                <w:sz w:val="19"/>
              </w:rPr>
              <w:t>需要细胞或膜实验</w:t>
            </w:r>
          </w:p>
        </w:tc>
      </w:tr>
    </w:tbl>
    <w:p>
      <w:pPr>
        <w:spacing w:after="40"/>
      </w:pPr>
    </w:p>
    <w:p>
      <w:pPr>
        <w:spacing w:before="320" w:after="160" w:line="288" w:lineRule="auto"/>
      </w:pPr>
      <w:r>
        <w:rPr>
          <w:rFonts w:ascii="Times New Roman" w:hAnsi="Times New Roman" w:eastAsia="微软雅黑"/>
          <w:b/>
          <w:i w:val="0"/>
          <w:color w:val="10305A"/>
          <w:sz w:val="34"/>
        </w:rPr>
        <w:t>四、分阶段组与本课题的深度学习分析</w:t>
      </w:r>
    </w:p>
    <w:p>
      <w:pPr>
        <w:spacing w:before="0" w:after="120" w:line="336" w:lineRule="auto"/>
        <w:ind w:firstLine="440"/>
      </w:pPr>
      <w:r>
        <w:rPr>
          <w:rFonts w:ascii="Times New Roman" w:hAnsi="Times New Roman" w:eastAsia="宋体"/>
          <w:b w:val="0"/>
          <w:i w:val="0"/>
          <w:color w:val="1F2937"/>
          <w:sz w:val="22"/>
        </w:rPr>
        <w:t>建议沿用 NC、SCS、SCD、MCI、AD 五个认知阶段作为解释框架，并在性别和年龄层面匹配或建模校正。这样做的目的不是预设某个阶段一定升高，而是检验 AMP 组成是否出现病程梯度。实际样本数、纳入排除标准和缺失值处理应以你的 476 样本数据台账为准。[33，34，35，31，32]</w:t>
      </w:r>
    </w:p>
    <w:p>
      <w:pPr>
        <w:spacing w:before="160" w:after="80" w:line="324" w:lineRule="auto"/>
      </w:pPr>
      <w:r>
        <w:rPr>
          <w:rFonts w:ascii="Times New Roman" w:hAnsi="Times New Roman" w:eastAsia="微软雅黑"/>
          <w:b/>
          <w:i w:val="0"/>
          <w:color w:val="10305A"/>
          <w:sz w:val="21"/>
        </w:rPr>
        <w:t>表 11　五阶段设计如何服务于 AMP 差异分析</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0305A"/>
          </w:tcPr>
          <w:p>
            <w:pPr>
              <w:jc w:val="center"/>
            </w:pPr>
            <w:r/>
            <w:r>
              <w:rPr>
                <w:rFonts w:ascii="Times New Roman" w:hAnsi="Times New Roman" w:eastAsia="微软雅黑"/>
                <w:b/>
                <w:i w:val="0"/>
                <w:color w:val="FFFFFF"/>
                <w:sz w:val="19"/>
              </w:rPr>
              <w:t>阶段</w:t>
            </w:r>
          </w:p>
        </w:tc>
        <w:tc>
          <w:tcPr>
            <w:tcW w:type="dxa" w:w="2379"/>
            <w:shd w:val="clear" w:color="auto" w:fill="10305A"/>
          </w:tcPr>
          <w:p>
            <w:pPr>
              <w:jc w:val="center"/>
            </w:pPr>
            <w:r/>
            <w:r>
              <w:rPr>
                <w:rFonts w:ascii="Times New Roman" w:hAnsi="Times New Roman" w:eastAsia="微软雅黑"/>
                <w:b/>
                <w:i w:val="0"/>
                <w:color w:val="FFFFFF"/>
                <w:sz w:val="19"/>
              </w:rPr>
              <w:t>分组含义</w:t>
            </w:r>
          </w:p>
        </w:tc>
        <w:tc>
          <w:tcPr>
            <w:tcW w:type="dxa" w:w="2379"/>
            <w:shd w:val="clear" w:color="auto" w:fill="10305A"/>
          </w:tcPr>
          <w:p>
            <w:pPr>
              <w:jc w:val="center"/>
            </w:pPr>
            <w:r/>
            <w:r>
              <w:rPr>
                <w:rFonts w:ascii="Times New Roman" w:hAnsi="Times New Roman" w:eastAsia="微软雅黑"/>
                <w:b/>
                <w:i w:val="0"/>
                <w:color w:val="FFFFFF"/>
                <w:sz w:val="19"/>
              </w:rPr>
              <w:t>可以观察的信号</w:t>
            </w:r>
          </w:p>
        </w:tc>
        <w:tc>
          <w:tcPr>
            <w:tcW w:type="dxa" w:w="2379"/>
            <w:shd w:val="clear" w:color="auto" w:fill="10305A"/>
          </w:tcPr>
          <w:p>
            <w:pPr>
              <w:jc w:val="center"/>
            </w:pPr>
            <w:r/>
            <w:r>
              <w:rPr>
                <w:rFonts w:ascii="Times New Roman" w:hAnsi="Times New Roman" w:eastAsia="微软雅黑"/>
                <w:b/>
                <w:i w:val="0"/>
                <w:color w:val="FFFFFF"/>
                <w:sz w:val="19"/>
              </w:rPr>
              <w:t>不能预先断言</w:t>
            </w:r>
          </w:p>
        </w:tc>
      </w:tr>
      <w:tr>
        <w:tc>
          <w:tcPr>
            <w:tcW w:type="dxa" w:w="2379"/>
          </w:tcPr>
          <w:p>
            <w:pPr>
              <w:spacing w:after="40" w:line="276" w:lineRule="auto"/>
            </w:pPr>
            <w:r/>
            <w:r>
              <w:rPr>
                <w:rFonts w:ascii="Times New Roman" w:hAnsi="Times New Roman" w:eastAsia="宋体"/>
                <w:b w:val="0"/>
                <w:i w:val="0"/>
                <w:color w:val="1F2937"/>
                <w:sz w:val="19"/>
              </w:rPr>
              <w:t>NC</w:t>
            </w:r>
          </w:p>
        </w:tc>
        <w:tc>
          <w:tcPr>
            <w:tcW w:type="dxa" w:w="2379"/>
          </w:tcPr>
          <w:p>
            <w:pPr>
              <w:spacing w:after="40" w:line="276" w:lineRule="auto"/>
            </w:pPr>
            <w:r/>
            <w:r>
              <w:rPr>
                <w:rFonts w:ascii="Times New Roman" w:hAnsi="Times New Roman" w:eastAsia="宋体"/>
                <w:b w:val="0"/>
                <w:i w:val="0"/>
                <w:color w:val="1F2937"/>
                <w:sz w:val="19"/>
              </w:rPr>
              <w:t>认知正常基线</w:t>
            </w:r>
          </w:p>
        </w:tc>
        <w:tc>
          <w:tcPr>
            <w:tcW w:type="dxa" w:w="2379"/>
          </w:tcPr>
          <w:p>
            <w:pPr>
              <w:spacing w:after="40" w:line="276" w:lineRule="auto"/>
            </w:pPr>
            <w:r/>
            <w:r>
              <w:rPr>
                <w:rFonts w:ascii="Times New Roman" w:hAnsi="Times New Roman" w:eastAsia="宋体"/>
                <w:b w:val="0"/>
                <w:i w:val="0"/>
                <w:color w:val="1F2937"/>
                <w:sz w:val="19"/>
              </w:rPr>
              <w:t>AMP 多样性、来源菌和 SCFA 相关基线</w:t>
            </w:r>
          </w:p>
        </w:tc>
        <w:tc>
          <w:tcPr>
            <w:tcW w:type="dxa" w:w="2379"/>
          </w:tcPr>
          <w:p>
            <w:pPr>
              <w:spacing w:after="40" w:line="276" w:lineRule="auto"/>
            </w:pPr>
            <w:r/>
            <w:r>
              <w:rPr>
                <w:rFonts w:ascii="Times New Roman" w:hAnsi="Times New Roman" w:eastAsia="宋体"/>
                <w:b w:val="0"/>
                <w:i w:val="0"/>
                <w:color w:val="1F2937"/>
                <w:sz w:val="19"/>
              </w:rPr>
              <w:t>所有健康富集肽都保护</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SCS</w:t>
            </w:r>
          </w:p>
        </w:tc>
        <w:tc>
          <w:tcPr>
            <w:tcW w:type="dxa" w:w="2379"/>
            <w:shd w:val="clear" w:color="auto" w:fill="F2F5F9"/>
          </w:tcPr>
          <w:p>
            <w:pPr>
              <w:spacing w:after="40" w:line="276" w:lineRule="auto"/>
            </w:pPr>
            <w:r/>
            <w:r>
              <w:rPr>
                <w:rFonts w:ascii="Times New Roman" w:hAnsi="Times New Roman" w:eastAsia="宋体"/>
                <w:b w:val="0"/>
                <w:i w:val="0"/>
                <w:color w:val="1F2937"/>
                <w:sz w:val="19"/>
              </w:rPr>
              <w:t>主观认知下降</w:t>
            </w:r>
          </w:p>
        </w:tc>
        <w:tc>
          <w:tcPr>
            <w:tcW w:type="dxa" w:w="2379"/>
            <w:shd w:val="clear" w:color="auto" w:fill="F2F5F9"/>
          </w:tcPr>
          <w:p>
            <w:pPr>
              <w:spacing w:after="40" w:line="276" w:lineRule="auto"/>
            </w:pPr>
            <w:r/>
            <w:r>
              <w:rPr>
                <w:rFonts w:ascii="Times New Roman" w:hAnsi="Times New Roman" w:eastAsia="宋体"/>
                <w:b w:val="0"/>
                <w:i w:val="0"/>
                <w:color w:val="1F2937"/>
                <w:sz w:val="19"/>
              </w:rPr>
              <w:t>早期组成偏移和候选肽初始变化</w:t>
            </w:r>
          </w:p>
        </w:tc>
        <w:tc>
          <w:tcPr>
            <w:tcW w:type="dxa" w:w="2379"/>
            <w:shd w:val="clear" w:color="auto" w:fill="F2F5F9"/>
          </w:tcPr>
          <w:p>
            <w:pPr>
              <w:spacing w:after="40" w:line="276" w:lineRule="auto"/>
            </w:pPr>
            <w:r/>
            <w:r>
              <w:rPr>
                <w:rFonts w:ascii="Times New Roman" w:hAnsi="Times New Roman" w:eastAsia="宋体"/>
                <w:b w:val="0"/>
                <w:i w:val="0"/>
                <w:color w:val="1F2937"/>
                <w:sz w:val="19"/>
              </w:rPr>
              <w:t>一定已进入 AD 病理</w:t>
            </w:r>
          </w:p>
        </w:tc>
      </w:tr>
      <w:tr>
        <w:tc>
          <w:tcPr>
            <w:tcW w:type="dxa" w:w="2379"/>
          </w:tcPr>
          <w:p>
            <w:pPr>
              <w:spacing w:after="40" w:line="276" w:lineRule="auto"/>
            </w:pPr>
            <w:r/>
            <w:r>
              <w:rPr>
                <w:rFonts w:ascii="Times New Roman" w:hAnsi="Times New Roman" w:eastAsia="宋体"/>
                <w:b w:val="0"/>
                <w:i w:val="0"/>
                <w:color w:val="1F2937"/>
                <w:sz w:val="19"/>
              </w:rPr>
              <w:t>SCD</w:t>
            </w:r>
          </w:p>
        </w:tc>
        <w:tc>
          <w:tcPr>
            <w:tcW w:type="dxa" w:w="2379"/>
          </w:tcPr>
          <w:p>
            <w:pPr>
              <w:spacing w:after="40" w:line="276" w:lineRule="auto"/>
            </w:pPr>
            <w:r/>
            <w:r>
              <w:rPr>
                <w:rFonts w:ascii="Times New Roman" w:hAnsi="Times New Roman" w:eastAsia="宋体"/>
                <w:b w:val="0"/>
                <w:i w:val="0"/>
                <w:color w:val="1F2937"/>
                <w:sz w:val="19"/>
              </w:rPr>
              <w:t>可疑认知障碍</w:t>
            </w:r>
          </w:p>
        </w:tc>
        <w:tc>
          <w:tcPr>
            <w:tcW w:type="dxa" w:w="2379"/>
          </w:tcPr>
          <w:p>
            <w:pPr>
              <w:spacing w:after="40" w:line="276" w:lineRule="auto"/>
            </w:pPr>
            <w:r/>
            <w:r>
              <w:rPr>
                <w:rFonts w:ascii="Times New Roman" w:hAnsi="Times New Roman" w:eastAsia="宋体"/>
                <w:b w:val="0"/>
                <w:i w:val="0"/>
                <w:color w:val="1F2937"/>
                <w:sz w:val="19"/>
              </w:rPr>
              <w:t>屏障/炎症中间层与网络变化</w:t>
            </w:r>
          </w:p>
        </w:tc>
        <w:tc>
          <w:tcPr>
            <w:tcW w:type="dxa" w:w="2379"/>
          </w:tcPr>
          <w:p>
            <w:pPr>
              <w:spacing w:after="40" w:line="276" w:lineRule="auto"/>
            </w:pPr>
            <w:r/>
            <w:r>
              <w:rPr>
                <w:rFonts w:ascii="Times New Roman" w:hAnsi="Times New Roman" w:eastAsia="宋体"/>
                <w:b w:val="0"/>
                <w:i w:val="0"/>
                <w:color w:val="1F2937"/>
                <w:sz w:val="19"/>
              </w:rPr>
              <w:t>所有变化都由 AMP 引起</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MCI</w:t>
            </w:r>
          </w:p>
        </w:tc>
        <w:tc>
          <w:tcPr>
            <w:tcW w:type="dxa" w:w="2379"/>
            <w:shd w:val="clear" w:color="auto" w:fill="F2F5F9"/>
          </w:tcPr>
          <w:p>
            <w:pPr>
              <w:spacing w:after="40" w:line="276" w:lineRule="auto"/>
            </w:pPr>
            <w:r/>
            <w:r>
              <w:rPr>
                <w:rFonts w:ascii="Times New Roman" w:hAnsi="Times New Roman" w:eastAsia="宋体"/>
                <w:b w:val="0"/>
                <w:i w:val="0"/>
                <w:color w:val="1F2937"/>
                <w:sz w:val="19"/>
              </w:rPr>
              <w:t>轻度认知障碍</w:t>
            </w:r>
          </w:p>
        </w:tc>
        <w:tc>
          <w:tcPr>
            <w:tcW w:type="dxa" w:w="2379"/>
            <w:shd w:val="clear" w:color="auto" w:fill="F2F5F9"/>
          </w:tcPr>
          <w:p>
            <w:pPr>
              <w:spacing w:after="40" w:line="276" w:lineRule="auto"/>
            </w:pPr>
            <w:r/>
            <w:r>
              <w:rPr>
                <w:rFonts w:ascii="Times New Roman" w:hAnsi="Times New Roman" w:eastAsia="宋体"/>
                <w:b w:val="0"/>
                <w:i w:val="0"/>
                <w:color w:val="1F2937"/>
                <w:sz w:val="19"/>
              </w:rPr>
              <w:t>与前驱期和 AD 比较的过渡趋势</w:t>
            </w:r>
          </w:p>
        </w:tc>
        <w:tc>
          <w:tcPr>
            <w:tcW w:type="dxa" w:w="2379"/>
            <w:shd w:val="clear" w:color="auto" w:fill="F2F5F9"/>
          </w:tcPr>
          <w:p>
            <w:pPr>
              <w:spacing w:after="40" w:line="276" w:lineRule="auto"/>
            </w:pPr>
            <w:r/>
            <w:r>
              <w:rPr>
                <w:rFonts w:ascii="Times New Roman" w:hAnsi="Times New Roman" w:eastAsia="宋体"/>
                <w:b w:val="0"/>
                <w:i w:val="0"/>
                <w:color w:val="1F2937"/>
                <w:sz w:val="19"/>
              </w:rPr>
              <w:t>是单向病因节点</w:t>
            </w:r>
          </w:p>
        </w:tc>
      </w:tr>
      <w:tr>
        <w:tc>
          <w:tcPr>
            <w:tcW w:type="dxa" w:w="2379"/>
          </w:tcPr>
          <w:p>
            <w:pPr>
              <w:spacing w:after="40" w:line="276" w:lineRule="auto"/>
            </w:pPr>
            <w:r/>
            <w:r>
              <w:rPr>
                <w:rFonts w:ascii="Times New Roman" w:hAnsi="Times New Roman" w:eastAsia="宋体"/>
                <w:b w:val="0"/>
                <w:i w:val="0"/>
                <w:color w:val="1F2937"/>
                <w:sz w:val="19"/>
              </w:rPr>
              <w:t>AD</w:t>
            </w:r>
          </w:p>
        </w:tc>
        <w:tc>
          <w:tcPr>
            <w:tcW w:type="dxa" w:w="2379"/>
          </w:tcPr>
          <w:p>
            <w:pPr>
              <w:spacing w:after="40" w:line="276" w:lineRule="auto"/>
            </w:pPr>
            <w:r/>
            <w:r>
              <w:rPr>
                <w:rFonts w:ascii="Times New Roman" w:hAnsi="Times New Roman" w:eastAsia="宋体"/>
                <w:b w:val="0"/>
                <w:i w:val="0"/>
                <w:color w:val="1F2937"/>
                <w:sz w:val="19"/>
              </w:rPr>
              <w:t>阿尔茨海默症</w:t>
            </w:r>
          </w:p>
        </w:tc>
        <w:tc>
          <w:tcPr>
            <w:tcW w:type="dxa" w:w="2379"/>
          </w:tcPr>
          <w:p>
            <w:pPr>
              <w:spacing w:after="40" w:line="276" w:lineRule="auto"/>
            </w:pPr>
            <w:r/>
            <w:r>
              <w:rPr>
                <w:rFonts w:ascii="Times New Roman" w:hAnsi="Times New Roman" w:eastAsia="宋体"/>
                <w:b w:val="0"/>
                <w:i w:val="0"/>
                <w:color w:val="1F2937"/>
                <w:sz w:val="19"/>
              </w:rPr>
              <w:t>疾病相关富集或缺失候选</w:t>
            </w:r>
          </w:p>
        </w:tc>
        <w:tc>
          <w:tcPr>
            <w:tcW w:type="dxa" w:w="2379"/>
          </w:tcPr>
          <w:p>
            <w:pPr>
              <w:spacing w:after="40" w:line="276" w:lineRule="auto"/>
            </w:pPr>
            <w:r/>
            <w:r>
              <w:rPr>
                <w:rFonts w:ascii="Times New Roman" w:hAnsi="Times New Roman" w:eastAsia="宋体"/>
                <w:b w:val="0"/>
                <w:i w:val="0"/>
                <w:color w:val="1F2937"/>
                <w:sz w:val="19"/>
              </w:rPr>
              <w:t>所有候选都促病理</w:t>
            </w:r>
          </w:p>
        </w:tc>
      </w:tr>
    </w:tbl>
    <w:p>
      <w:pPr>
        <w:spacing w:after="40"/>
      </w:pPr>
    </w:p>
    <w:p>
      <w:pPr>
        <w:spacing w:before="240" w:after="100" w:line="288" w:lineRule="auto"/>
      </w:pPr>
      <w:r>
        <w:rPr>
          <w:rFonts w:ascii="Times New Roman" w:hAnsi="Times New Roman" w:eastAsia="微软雅黑"/>
          <w:b/>
          <w:i w:val="0"/>
          <w:color w:val="10305A"/>
          <w:sz w:val="27"/>
        </w:rPr>
        <w:t>4.1 与论文题目完全对应的八步技术路线</w:t>
      </w:r>
    </w:p>
    <w:p>
      <w:pPr>
        <w:spacing w:before="0" w:after="120" w:line="336" w:lineRule="auto"/>
        <w:ind w:firstLine="440"/>
      </w:pPr>
      <w:r>
        <w:rPr>
          <w:rFonts w:ascii="Times New Roman" w:hAnsi="Times New Roman" w:eastAsia="宋体"/>
          <w:b w:val="0"/>
          <w:i w:val="0"/>
          <w:color w:val="1F2937"/>
          <w:sz w:val="22"/>
        </w:rPr>
        <w:t>第一步，质控、去宿主、组装、分箱和 ORF 预测；第二步，形成 12-50 aa 微生物短肽库；第三步，Attention/LSTM/BERT 共识预测 AMP；第四步，把 reads 回贴到 ORF/肽序列并构建样本×肽丰度矩阵；第五步，用组成性差异方法筛选 AD/健康和五阶段候选；第六步，用宏蛋白组/肽组学或转录证据进行二次去重；第七步，对高优先级候选做来源菌—生态—炎症—膜/LPS—Aβ/BBB 的分层机制分析；第八步，用代表性风险样和保护样候选做抑菌、酶活、屏障或炎症验证。[57，58，59，60，61，62，63，64，65，66]</w:t>
      </w:r>
    </w:p>
    <w:p>
      <w:pPr>
        <w:spacing w:before="160" w:after="80" w:line="324" w:lineRule="auto"/>
      </w:pPr>
      <w:r>
        <w:rPr>
          <w:rFonts w:ascii="Times New Roman" w:hAnsi="Times New Roman" w:eastAsia="微软雅黑"/>
          <w:b/>
          <w:i w:val="0"/>
          <w:color w:val="10305A"/>
          <w:sz w:val="21"/>
        </w:rPr>
        <w:t>表 12　宏基因组 AMP 差异分析的方法门槛</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0305A"/>
          </w:tcPr>
          <w:p>
            <w:pPr>
              <w:jc w:val="center"/>
            </w:pPr>
            <w:r/>
            <w:r>
              <w:rPr>
                <w:rFonts w:ascii="Times New Roman" w:hAnsi="Times New Roman" w:eastAsia="微软雅黑"/>
                <w:b/>
                <w:i w:val="0"/>
                <w:color w:val="FFFFFF"/>
                <w:sz w:val="19"/>
              </w:rPr>
              <w:t>环节</w:t>
            </w:r>
          </w:p>
        </w:tc>
        <w:tc>
          <w:tcPr>
            <w:tcW w:type="dxa" w:w="2379"/>
            <w:shd w:val="clear" w:color="auto" w:fill="10305A"/>
          </w:tcPr>
          <w:p>
            <w:pPr>
              <w:jc w:val="center"/>
            </w:pPr>
            <w:r/>
            <w:r>
              <w:rPr>
                <w:rFonts w:ascii="Times New Roman" w:hAnsi="Times New Roman" w:eastAsia="微软雅黑"/>
                <w:b/>
                <w:i w:val="0"/>
                <w:color w:val="FFFFFF"/>
                <w:sz w:val="19"/>
              </w:rPr>
              <w:t>建议方法</w:t>
            </w:r>
          </w:p>
        </w:tc>
        <w:tc>
          <w:tcPr>
            <w:tcW w:type="dxa" w:w="2379"/>
            <w:shd w:val="clear" w:color="auto" w:fill="10305A"/>
          </w:tcPr>
          <w:p>
            <w:pPr>
              <w:jc w:val="center"/>
            </w:pPr>
            <w:r/>
            <w:r>
              <w:rPr>
                <w:rFonts w:ascii="Times New Roman" w:hAnsi="Times New Roman" w:eastAsia="微软雅黑"/>
                <w:b/>
                <w:i w:val="0"/>
                <w:color w:val="FFFFFF"/>
                <w:sz w:val="19"/>
              </w:rPr>
              <w:t>关键输出</w:t>
            </w:r>
          </w:p>
        </w:tc>
        <w:tc>
          <w:tcPr>
            <w:tcW w:type="dxa" w:w="2379"/>
            <w:shd w:val="clear" w:color="auto" w:fill="10305A"/>
          </w:tcPr>
          <w:p>
            <w:pPr>
              <w:jc w:val="center"/>
            </w:pPr>
            <w:r/>
            <w:r>
              <w:rPr>
                <w:rFonts w:ascii="Times New Roman" w:hAnsi="Times New Roman" w:eastAsia="微软雅黑"/>
                <w:b/>
                <w:i w:val="0"/>
                <w:color w:val="FFFFFF"/>
                <w:sz w:val="19"/>
              </w:rPr>
              <w:t>与病理解释的关系</w:t>
            </w:r>
          </w:p>
        </w:tc>
      </w:tr>
      <w:tr>
        <w:tc>
          <w:tcPr>
            <w:tcW w:type="dxa" w:w="2379"/>
          </w:tcPr>
          <w:p>
            <w:pPr>
              <w:spacing w:after="40" w:line="276" w:lineRule="auto"/>
            </w:pPr>
            <w:r/>
            <w:r>
              <w:rPr>
                <w:rFonts w:ascii="Times New Roman" w:hAnsi="Times New Roman" w:eastAsia="宋体"/>
                <w:b w:val="0"/>
                <w:i w:val="0"/>
                <w:color w:val="1F2937"/>
                <w:sz w:val="19"/>
              </w:rPr>
              <w:t>候选构建</w:t>
            </w:r>
          </w:p>
        </w:tc>
        <w:tc>
          <w:tcPr>
            <w:tcW w:type="dxa" w:w="2379"/>
          </w:tcPr>
          <w:p>
            <w:pPr>
              <w:spacing w:after="40" w:line="276" w:lineRule="auto"/>
            </w:pPr>
            <w:r/>
            <w:r>
              <w:rPr>
                <w:rFonts w:ascii="Times New Roman" w:hAnsi="Times New Roman" w:eastAsia="宋体"/>
                <w:b w:val="0"/>
                <w:i w:val="0"/>
                <w:color w:val="1F2937"/>
                <w:sz w:val="19"/>
              </w:rPr>
              <w:t>MEGAHIT/metaSPAdes、Prodigal、CD-HIT</w:t>
            </w:r>
          </w:p>
        </w:tc>
        <w:tc>
          <w:tcPr>
            <w:tcW w:type="dxa" w:w="2379"/>
          </w:tcPr>
          <w:p>
            <w:pPr>
              <w:spacing w:after="40" w:line="276" w:lineRule="auto"/>
            </w:pPr>
            <w:r/>
            <w:r>
              <w:rPr>
                <w:rFonts w:ascii="Times New Roman" w:hAnsi="Times New Roman" w:eastAsia="宋体"/>
                <w:b w:val="0"/>
                <w:i w:val="0"/>
                <w:color w:val="1F2937"/>
                <w:sz w:val="19"/>
              </w:rPr>
              <w:t>序列、ORF、MAG、来源菌</w:t>
            </w:r>
          </w:p>
        </w:tc>
        <w:tc>
          <w:tcPr>
            <w:tcW w:type="dxa" w:w="2379"/>
          </w:tcPr>
          <w:p>
            <w:pPr>
              <w:spacing w:after="40" w:line="276" w:lineRule="auto"/>
            </w:pPr>
            <w:r/>
            <w:r>
              <w:rPr>
                <w:rFonts w:ascii="Times New Roman" w:hAnsi="Times New Roman" w:eastAsia="宋体"/>
                <w:b w:val="0"/>
                <w:i w:val="0"/>
                <w:color w:val="1F2937"/>
                <w:sz w:val="19"/>
              </w:rPr>
              <w:t>决定候选是否可追溯</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模型共识</w:t>
            </w:r>
          </w:p>
        </w:tc>
        <w:tc>
          <w:tcPr>
            <w:tcW w:type="dxa" w:w="2379"/>
            <w:shd w:val="clear" w:color="auto" w:fill="F2F5F9"/>
          </w:tcPr>
          <w:p>
            <w:pPr>
              <w:spacing w:after="40" w:line="276" w:lineRule="auto"/>
            </w:pPr>
            <w:r/>
            <w:r>
              <w:rPr>
                <w:rFonts w:ascii="Times New Roman" w:hAnsi="Times New Roman" w:eastAsia="宋体"/>
                <w:b w:val="0"/>
                <w:i w:val="0"/>
                <w:color w:val="1F2937"/>
                <w:sz w:val="19"/>
              </w:rPr>
              <w:t>Attention/LSTM/BERT 或同类模型</w:t>
            </w:r>
          </w:p>
        </w:tc>
        <w:tc>
          <w:tcPr>
            <w:tcW w:type="dxa" w:w="2379"/>
            <w:shd w:val="clear" w:color="auto" w:fill="F2F5F9"/>
          </w:tcPr>
          <w:p>
            <w:pPr>
              <w:spacing w:after="40" w:line="276" w:lineRule="auto"/>
            </w:pPr>
            <w:r/>
            <w:r>
              <w:rPr>
                <w:rFonts w:ascii="Times New Roman" w:hAnsi="Times New Roman" w:eastAsia="宋体"/>
                <w:b w:val="0"/>
                <w:i w:val="0"/>
                <w:color w:val="1F2937"/>
                <w:sz w:val="19"/>
              </w:rPr>
              <w:t>AMP 概率和模型一致性</w:t>
            </w:r>
          </w:p>
        </w:tc>
        <w:tc>
          <w:tcPr>
            <w:tcW w:type="dxa" w:w="2379"/>
            <w:shd w:val="clear" w:color="auto" w:fill="F2F5F9"/>
          </w:tcPr>
          <w:p>
            <w:pPr>
              <w:spacing w:after="40" w:line="276" w:lineRule="auto"/>
            </w:pPr>
            <w:r/>
            <w:r>
              <w:rPr>
                <w:rFonts w:ascii="Times New Roman" w:hAnsi="Times New Roman" w:eastAsia="宋体"/>
                <w:b w:val="0"/>
                <w:i w:val="0"/>
                <w:color w:val="1F2937"/>
                <w:sz w:val="19"/>
              </w:rPr>
              <w:t>只说明 AMP 候选</w:t>
            </w:r>
          </w:p>
        </w:tc>
      </w:tr>
      <w:tr>
        <w:tc>
          <w:tcPr>
            <w:tcW w:type="dxa" w:w="2379"/>
          </w:tcPr>
          <w:p>
            <w:pPr>
              <w:spacing w:after="40" w:line="276" w:lineRule="auto"/>
            </w:pPr>
            <w:r/>
            <w:r>
              <w:rPr>
                <w:rFonts w:ascii="Times New Roman" w:hAnsi="Times New Roman" w:eastAsia="宋体"/>
                <w:b w:val="0"/>
                <w:i w:val="0"/>
                <w:color w:val="1F2937"/>
                <w:sz w:val="19"/>
              </w:rPr>
              <w:t>定量</w:t>
            </w:r>
          </w:p>
        </w:tc>
        <w:tc>
          <w:tcPr>
            <w:tcW w:type="dxa" w:w="2379"/>
          </w:tcPr>
          <w:p>
            <w:pPr>
              <w:spacing w:after="40" w:line="276" w:lineRule="auto"/>
            </w:pPr>
            <w:r/>
            <w:r>
              <w:rPr>
                <w:rFonts w:ascii="Times New Roman" w:hAnsi="Times New Roman" w:eastAsia="宋体"/>
                <w:b w:val="0"/>
                <w:i w:val="0"/>
                <w:color w:val="1F2937"/>
                <w:sz w:val="19"/>
              </w:rPr>
              <w:t>read 回贴、长度校正、CLR/相对丰度敏感性分析</w:t>
            </w:r>
          </w:p>
        </w:tc>
        <w:tc>
          <w:tcPr>
            <w:tcW w:type="dxa" w:w="2379"/>
          </w:tcPr>
          <w:p>
            <w:pPr>
              <w:spacing w:after="40" w:line="276" w:lineRule="auto"/>
            </w:pPr>
            <w:r/>
            <w:r>
              <w:rPr>
                <w:rFonts w:ascii="Times New Roman" w:hAnsi="Times New Roman" w:eastAsia="宋体"/>
                <w:b w:val="0"/>
                <w:i w:val="0"/>
                <w:color w:val="1F2937"/>
                <w:sz w:val="19"/>
              </w:rPr>
              <w:t>样本×肽矩阵</w:t>
            </w:r>
          </w:p>
        </w:tc>
        <w:tc>
          <w:tcPr>
            <w:tcW w:type="dxa" w:w="2379"/>
          </w:tcPr>
          <w:p>
            <w:pPr>
              <w:spacing w:after="40" w:line="276" w:lineRule="auto"/>
            </w:pPr>
            <w:r/>
            <w:r>
              <w:rPr>
                <w:rFonts w:ascii="Times New Roman" w:hAnsi="Times New Roman" w:eastAsia="宋体"/>
                <w:b w:val="0"/>
                <w:i w:val="0"/>
                <w:color w:val="1F2937"/>
                <w:sz w:val="19"/>
              </w:rPr>
              <w:t>提供 AD/健康差异基础</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差异</w:t>
            </w:r>
          </w:p>
        </w:tc>
        <w:tc>
          <w:tcPr>
            <w:tcW w:type="dxa" w:w="2379"/>
            <w:shd w:val="clear" w:color="auto" w:fill="F2F5F9"/>
          </w:tcPr>
          <w:p>
            <w:pPr>
              <w:spacing w:after="40" w:line="276" w:lineRule="auto"/>
            </w:pPr>
            <w:r/>
            <w:r>
              <w:rPr>
                <w:rFonts w:ascii="Times New Roman" w:hAnsi="Times New Roman" w:eastAsia="宋体"/>
                <w:b w:val="0"/>
                <w:i w:val="0"/>
                <w:color w:val="1F2937"/>
                <w:sz w:val="19"/>
              </w:rPr>
              <w:t>ANCOM-BC2/Maaslin2/计数模型</w:t>
            </w:r>
          </w:p>
        </w:tc>
        <w:tc>
          <w:tcPr>
            <w:tcW w:type="dxa" w:w="2379"/>
            <w:shd w:val="clear" w:color="auto" w:fill="F2F5F9"/>
          </w:tcPr>
          <w:p>
            <w:pPr>
              <w:spacing w:after="40" w:line="276" w:lineRule="auto"/>
            </w:pPr>
            <w:r/>
            <w:r>
              <w:rPr>
                <w:rFonts w:ascii="Times New Roman" w:hAnsi="Times New Roman" w:eastAsia="宋体"/>
                <w:b w:val="0"/>
                <w:i w:val="0"/>
                <w:color w:val="1F2937"/>
                <w:sz w:val="19"/>
              </w:rPr>
              <w:t>效应量、FDR、检出率、趋势</w:t>
            </w:r>
          </w:p>
        </w:tc>
        <w:tc>
          <w:tcPr>
            <w:tcW w:type="dxa" w:w="2379"/>
            <w:shd w:val="clear" w:color="auto" w:fill="F2F5F9"/>
          </w:tcPr>
          <w:p>
            <w:pPr>
              <w:spacing w:after="40" w:line="276" w:lineRule="auto"/>
            </w:pPr>
            <w:r/>
            <w:r>
              <w:rPr>
                <w:rFonts w:ascii="Times New Roman" w:hAnsi="Times New Roman" w:eastAsia="宋体"/>
                <w:b w:val="0"/>
                <w:i w:val="0"/>
                <w:color w:val="1F2937"/>
                <w:sz w:val="19"/>
              </w:rPr>
              <w:t>筛选 AD-associated AMP</w:t>
            </w:r>
          </w:p>
        </w:tc>
      </w:tr>
      <w:tr>
        <w:tc>
          <w:tcPr>
            <w:tcW w:type="dxa" w:w="2379"/>
          </w:tcPr>
          <w:p>
            <w:pPr>
              <w:spacing w:after="40" w:line="276" w:lineRule="auto"/>
            </w:pPr>
            <w:r/>
            <w:r>
              <w:rPr>
                <w:rFonts w:ascii="Times New Roman" w:hAnsi="Times New Roman" w:eastAsia="宋体"/>
                <w:b w:val="0"/>
                <w:i w:val="0"/>
                <w:color w:val="1F2937"/>
                <w:sz w:val="19"/>
              </w:rPr>
              <w:t>表达验证</w:t>
            </w:r>
          </w:p>
        </w:tc>
        <w:tc>
          <w:tcPr>
            <w:tcW w:type="dxa" w:w="2379"/>
          </w:tcPr>
          <w:p>
            <w:pPr>
              <w:spacing w:after="40" w:line="276" w:lineRule="auto"/>
            </w:pPr>
            <w:r/>
            <w:r>
              <w:rPr>
                <w:rFonts w:ascii="Times New Roman" w:hAnsi="Times New Roman" w:eastAsia="宋体"/>
                <w:b w:val="0"/>
                <w:i w:val="0"/>
                <w:color w:val="1F2937"/>
                <w:sz w:val="19"/>
              </w:rPr>
              <w:t>宏转录组/宏蛋白组/肽组学</w:t>
            </w:r>
          </w:p>
        </w:tc>
        <w:tc>
          <w:tcPr>
            <w:tcW w:type="dxa" w:w="2379"/>
          </w:tcPr>
          <w:p>
            <w:pPr>
              <w:spacing w:after="40" w:line="276" w:lineRule="auto"/>
            </w:pPr>
            <w:r/>
            <w:r>
              <w:rPr>
                <w:rFonts w:ascii="Times New Roman" w:hAnsi="Times New Roman" w:eastAsia="宋体"/>
                <w:b w:val="0"/>
                <w:i w:val="0"/>
                <w:color w:val="1F2937"/>
                <w:sz w:val="19"/>
              </w:rPr>
              <w:t>表达/加工证据</w:t>
            </w:r>
          </w:p>
        </w:tc>
        <w:tc>
          <w:tcPr>
            <w:tcW w:type="dxa" w:w="2379"/>
          </w:tcPr>
          <w:p>
            <w:pPr>
              <w:spacing w:after="40" w:line="276" w:lineRule="auto"/>
            </w:pPr>
            <w:r/>
            <w:r>
              <w:rPr>
                <w:rFonts w:ascii="Times New Roman" w:hAnsi="Times New Roman" w:eastAsia="宋体"/>
                <w:b w:val="0"/>
                <w:i w:val="0"/>
                <w:color w:val="1F2937"/>
                <w:sz w:val="19"/>
              </w:rPr>
              <w:t>提高真实暴露可信度</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机制分层</w:t>
            </w:r>
          </w:p>
        </w:tc>
        <w:tc>
          <w:tcPr>
            <w:tcW w:type="dxa" w:w="2379"/>
            <w:shd w:val="clear" w:color="auto" w:fill="F2F5F9"/>
          </w:tcPr>
          <w:p>
            <w:pPr>
              <w:spacing w:after="40" w:line="276" w:lineRule="auto"/>
            </w:pPr>
            <w:r/>
            <w:r>
              <w:rPr>
                <w:rFonts w:ascii="Times New Roman" w:hAnsi="Times New Roman" w:eastAsia="宋体"/>
                <w:b w:val="0"/>
                <w:i w:val="0"/>
                <w:color w:val="1F2937"/>
                <w:sz w:val="19"/>
              </w:rPr>
              <w:t>网络、中介、MD/QM、结构和实验</w:t>
            </w:r>
          </w:p>
        </w:tc>
        <w:tc>
          <w:tcPr>
            <w:tcW w:type="dxa" w:w="2379"/>
            <w:shd w:val="clear" w:color="auto" w:fill="F2F5F9"/>
          </w:tcPr>
          <w:p>
            <w:pPr>
              <w:spacing w:after="40" w:line="276" w:lineRule="auto"/>
            </w:pPr>
            <w:r/>
            <w:r>
              <w:rPr>
                <w:rFonts w:ascii="Times New Roman" w:hAnsi="Times New Roman" w:eastAsia="宋体"/>
                <w:b w:val="0"/>
                <w:i w:val="0"/>
                <w:color w:val="1F2937"/>
                <w:sz w:val="19"/>
              </w:rPr>
              <w:t>风险/保护/未知标签</w:t>
            </w:r>
          </w:p>
        </w:tc>
        <w:tc>
          <w:tcPr>
            <w:tcW w:type="dxa" w:w="2379"/>
            <w:shd w:val="clear" w:color="auto" w:fill="F2F5F9"/>
          </w:tcPr>
          <w:p>
            <w:pPr>
              <w:spacing w:after="40" w:line="276" w:lineRule="auto"/>
            </w:pPr>
            <w:r/>
            <w:r>
              <w:rPr>
                <w:rFonts w:ascii="Times New Roman" w:hAnsi="Times New Roman" w:eastAsia="宋体"/>
                <w:b w:val="0"/>
                <w:i w:val="0"/>
                <w:color w:val="1F2937"/>
                <w:sz w:val="19"/>
              </w:rPr>
              <w:t>提出可检验病理假设</w:t>
            </w:r>
          </w:p>
        </w:tc>
      </w:tr>
    </w:tbl>
    <w:p>
      <w:pPr>
        <w:spacing w:after="40"/>
      </w:pPr>
    </w:p>
    <w:p>
      <w:pPr>
        <w:spacing w:before="320" w:after="160" w:line="288" w:lineRule="auto"/>
      </w:pPr>
      <w:r>
        <w:rPr>
          <w:rFonts w:ascii="Times New Roman" w:hAnsi="Times New Roman" w:eastAsia="微软雅黑"/>
          <w:b/>
          <w:i w:val="0"/>
          <w:color w:val="10305A"/>
          <w:sz w:val="34"/>
        </w:rPr>
        <w:t>五、候选肽到底应该怎样分类</w:t>
      </w:r>
    </w:p>
    <w:p>
      <w:pPr>
        <w:spacing w:before="0" w:after="120" w:line="336" w:lineRule="auto"/>
        <w:ind w:firstLine="440"/>
      </w:pPr>
      <w:r>
        <w:rPr>
          <w:rFonts w:ascii="Times New Roman" w:hAnsi="Times New Roman" w:eastAsia="宋体"/>
          <w:b w:val="0"/>
          <w:i w:val="0"/>
          <w:color w:val="1F2937"/>
          <w:sz w:val="22"/>
        </w:rPr>
        <w:t>在真实结果出来后，不建议只保留“有益/有害”两个标签，而是建立四类：AD 富集且促炎/屏障损伤样；AD 富集但方向未知；健康富集且屏障/抗炎/清除样；只有 AMP 预测、缺少差异和表达支持。分类依据必须同时包含效应量、FDR、来源菌、表达、生态路径和分子方向。</w:t>
      </w:r>
    </w:p>
    <w:p>
      <w:pPr>
        <w:spacing w:before="160" w:after="80" w:line="324" w:lineRule="auto"/>
      </w:pPr>
      <w:r>
        <w:rPr>
          <w:rFonts w:ascii="Times New Roman" w:hAnsi="Times New Roman" w:eastAsia="微软雅黑"/>
          <w:b/>
          <w:i w:val="0"/>
          <w:color w:val="10305A"/>
          <w:sz w:val="21"/>
        </w:rPr>
        <w:t>表 13　筛选后的四类候选肽</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0305A"/>
          </w:tcPr>
          <w:p>
            <w:pPr>
              <w:jc w:val="center"/>
            </w:pPr>
            <w:r/>
            <w:r>
              <w:rPr>
                <w:rFonts w:ascii="Times New Roman" w:hAnsi="Times New Roman" w:eastAsia="微软雅黑"/>
                <w:b/>
                <w:i w:val="0"/>
                <w:color w:val="FFFFFF"/>
                <w:sz w:val="19"/>
              </w:rPr>
              <w:t>类别</w:t>
            </w:r>
          </w:p>
        </w:tc>
        <w:tc>
          <w:tcPr>
            <w:tcW w:type="dxa" w:w="2379"/>
            <w:shd w:val="clear" w:color="auto" w:fill="10305A"/>
          </w:tcPr>
          <w:p>
            <w:pPr>
              <w:jc w:val="center"/>
            </w:pPr>
            <w:r/>
            <w:r>
              <w:rPr>
                <w:rFonts w:ascii="Times New Roman" w:hAnsi="Times New Roman" w:eastAsia="微软雅黑"/>
                <w:b/>
                <w:i w:val="0"/>
                <w:color w:val="FFFFFF"/>
                <w:sz w:val="19"/>
              </w:rPr>
              <w:t>数据条件</w:t>
            </w:r>
          </w:p>
        </w:tc>
        <w:tc>
          <w:tcPr>
            <w:tcW w:type="dxa" w:w="2379"/>
            <w:shd w:val="clear" w:color="auto" w:fill="10305A"/>
          </w:tcPr>
          <w:p>
            <w:pPr>
              <w:jc w:val="center"/>
            </w:pPr>
            <w:r/>
            <w:r>
              <w:rPr>
                <w:rFonts w:ascii="Times New Roman" w:hAnsi="Times New Roman" w:eastAsia="微软雅黑"/>
                <w:b/>
                <w:i w:val="0"/>
                <w:color w:val="FFFFFF"/>
                <w:sz w:val="19"/>
              </w:rPr>
              <w:t>优先机制</w:t>
            </w:r>
          </w:p>
        </w:tc>
        <w:tc>
          <w:tcPr>
            <w:tcW w:type="dxa" w:w="2379"/>
            <w:shd w:val="clear" w:color="auto" w:fill="10305A"/>
          </w:tcPr>
          <w:p>
            <w:pPr>
              <w:jc w:val="center"/>
            </w:pPr>
            <w:r/>
            <w:r>
              <w:rPr>
                <w:rFonts w:ascii="Times New Roman" w:hAnsi="Times New Roman" w:eastAsia="微软雅黑"/>
                <w:b/>
                <w:i w:val="0"/>
                <w:color w:val="FFFFFF"/>
                <w:sz w:val="19"/>
              </w:rPr>
              <w:t>推荐措辞</w:t>
            </w:r>
          </w:p>
        </w:tc>
      </w:tr>
      <w:tr>
        <w:tc>
          <w:tcPr>
            <w:tcW w:type="dxa" w:w="2379"/>
          </w:tcPr>
          <w:p>
            <w:pPr>
              <w:spacing w:after="40" w:line="276" w:lineRule="auto"/>
            </w:pPr>
            <w:r/>
            <w:r>
              <w:rPr>
                <w:rFonts w:ascii="Times New Roman" w:hAnsi="Times New Roman" w:eastAsia="宋体"/>
                <w:b w:val="0"/>
                <w:i w:val="0"/>
                <w:color w:val="1F2937"/>
                <w:sz w:val="19"/>
              </w:rPr>
              <w:t>风险样候选</w:t>
            </w:r>
          </w:p>
        </w:tc>
        <w:tc>
          <w:tcPr>
            <w:tcW w:type="dxa" w:w="2379"/>
          </w:tcPr>
          <w:p>
            <w:pPr>
              <w:spacing w:after="40" w:line="276" w:lineRule="auto"/>
            </w:pPr>
            <w:r/>
            <w:r>
              <w:rPr>
                <w:rFonts w:ascii="Times New Roman" w:hAnsi="Times New Roman" w:eastAsia="宋体"/>
                <w:b w:val="0"/>
                <w:i w:val="0"/>
                <w:color w:val="1F2937"/>
                <w:sz w:val="19"/>
              </w:rPr>
              <w:t>AD 富集/随病程增加 + 炎症/LPS/屏障或膜/受体证据</w:t>
            </w:r>
          </w:p>
        </w:tc>
        <w:tc>
          <w:tcPr>
            <w:tcW w:type="dxa" w:w="2379"/>
          </w:tcPr>
          <w:p>
            <w:pPr>
              <w:spacing w:after="40" w:line="276" w:lineRule="auto"/>
            </w:pPr>
            <w:r/>
            <w:r>
              <w:rPr>
                <w:rFonts w:ascii="Times New Roman" w:hAnsi="Times New Roman" w:eastAsia="宋体"/>
                <w:b w:val="0"/>
                <w:i w:val="0"/>
                <w:color w:val="1F2937"/>
                <w:sz w:val="19"/>
              </w:rPr>
              <w:t>生态选择、TLR4/NF-kB、微胶质、Aβ 路径</w:t>
            </w:r>
          </w:p>
        </w:tc>
        <w:tc>
          <w:tcPr>
            <w:tcW w:type="dxa" w:w="2379"/>
          </w:tcPr>
          <w:p>
            <w:pPr>
              <w:spacing w:after="40" w:line="276" w:lineRule="auto"/>
            </w:pPr>
            <w:r/>
            <w:r>
              <w:rPr>
                <w:rFonts w:ascii="Times New Roman" w:hAnsi="Times New Roman" w:eastAsia="宋体"/>
                <w:b w:val="0"/>
                <w:i w:val="0"/>
                <w:color w:val="1F2937"/>
                <w:sz w:val="19"/>
              </w:rPr>
              <w:t>可能参与病理的 AD-associated candidate</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保护样候选</w:t>
            </w:r>
          </w:p>
        </w:tc>
        <w:tc>
          <w:tcPr>
            <w:tcW w:type="dxa" w:w="2379"/>
            <w:shd w:val="clear" w:color="auto" w:fill="F2F5F9"/>
          </w:tcPr>
          <w:p>
            <w:pPr>
              <w:spacing w:after="40" w:line="276" w:lineRule="auto"/>
            </w:pPr>
            <w:r/>
            <w:r>
              <w:rPr>
                <w:rFonts w:ascii="Times New Roman" w:hAnsi="Times New Roman" w:eastAsia="宋体"/>
                <w:b w:val="0"/>
                <w:i w:val="0"/>
                <w:color w:val="1F2937"/>
                <w:sz w:val="19"/>
              </w:rPr>
              <w:t>健康富集/病程下降 + 有益菌/屏障/抗炎/Aβ 清除证据</w:t>
            </w:r>
          </w:p>
        </w:tc>
        <w:tc>
          <w:tcPr>
            <w:tcW w:type="dxa" w:w="2379"/>
            <w:shd w:val="clear" w:color="auto" w:fill="F2F5F9"/>
          </w:tcPr>
          <w:p>
            <w:pPr>
              <w:spacing w:after="40" w:line="276" w:lineRule="auto"/>
            </w:pPr>
            <w:r/>
            <w:r>
              <w:rPr>
                <w:rFonts w:ascii="Times New Roman" w:hAnsi="Times New Roman" w:eastAsia="宋体"/>
                <w:b w:val="0"/>
                <w:i w:val="0"/>
                <w:color w:val="1F2937"/>
                <w:sz w:val="19"/>
              </w:rPr>
              <w:t>选择性抑菌、SCFA、屏障或无毒化</w:t>
            </w:r>
          </w:p>
        </w:tc>
        <w:tc>
          <w:tcPr>
            <w:tcW w:type="dxa" w:w="2379"/>
            <w:shd w:val="clear" w:color="auto" w:fill="F2F5F9"/>
          </w:tcPr>
          <w:p>
            <w:pPr>
              <w:spacing w:after="40" w:line="276" w:lineRule="auto"/>
            </w:pPr>
            <w:r/>
            <w:r>
              <w:rPr>
                <w:rFonts w:ascii="Times New Roman" w:hAnsi="Times New Roman" w:eastAsia="宋体"/>
                <w:b w:val="0"/>
                <w:i w:val="0"/>
                <w:color w:val="1F2937"/>
                <w:sz w:val="19"/>
              </w:rPr>
              <w:t>potentially protective candidate</w:t>
            </w:r>
          </w:p>
        </w:tc>
      </w:tr>
      <w:tr>
        <w:tc>
          <w:tcPr>
            <w:tcW w:type="dxa" w:w="2379"/>
          </w:tcPr>
          <w:p>
            <w:pPr>
              <w:spacing w:after="40" w:line="276" w:lineRule="auto"/>
            </w:pPr>
            <w:r/>
            <w:r>
              <w:rPr>
                <w:rFonts w:ascii="Times New Roman" w:hAnsi="Times New Roman" w:eastAsia="宋体"/>
                <w:b w:val="0"/>
                <w:i w:val="0"/>
                <w:color w:val="1F2937"/>
                <w:sz w:val="19"/>
              </w:rPr>
              <w:t>方向未知</w:t>
            </w:r>
          </w:p>
        </w:tc>
        <w:tc>
          <w:tcPr>
            <w:tcW w:type="dxa" w:w="2379"/>
          </w:tcPr>
          <w:p>
            <w:pPr>
              <w:spacing w:after="40" w:line="276" w:lineRule="auto"/>
            </w:pPr>
            <w:r/>
            <w:r>
              <w:rPr>
                <w:rFonts w:ascii="Times New Roman" w:hAnsi="Times New Roman" w:eastAsia="宋体"/>
                <w:b w:val="0"/>
                <w:i w:val="0"/>
                <w:color w:val="1F2937"/>
                <w:sz w:val="19"/>
              </w:rPr>
              <w:t>稳定差异但机制读数矛盾或不足</w:t>
            </w:r>
          </w:p>
        </w:tc>
        <w:tc>
          <w:tcPr>
            <w:tcW w:type="dxa" w:w="2379"/>
          </w:tcPr>
          <w:p>
            <w:pPr>
              <w:spacing w:after="40" w:line="276" w:lineRule="auto"/>
            </w:pPr>
            <w:r/>
            <w:r>
              <w:rPr>
                <w:rFonts w:ascii="Times New Roman" w:hAnsi="Times New Roman" w:eastAsia="宋体"/>
                <w:b w:val="0"/>
                <w:i w:val="0"/>
                <w:color w:val="1F2937"/>
                <w:sz w:val="19"/>
              </w:rPr>
              <w:t>先做表达和结构/功能验证</w:t>
            </w:r>
          </w:p>
        </w:tc>
        <w:tc>
          <w:tcPr>
            <w:tcW w:type="dxa" w:w="2379"/>
          </w:tcPr>
          <w:p>
            <w:pPr>
              <w:spacing w:after="40" w:line="276" w:lineRule="auto"/>
            </w:pPr>
            <w:r/>
            <w:r>
              <w:rPr>
                <w:rFonts w:ascii="Times New Roman" w:hAnsi="Times New Roman" w:eastAsia="宋体"/>
                <w:b w:val="0"/>
                <w:i w:val="0"/>
                <w:color w:val="1F2937"/>
                <w:sz w:val="19"/>
              </w:rPr>
              <w:t>AD-associated candidate, direction unresolved</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预测层候选</w:t>
            </w:r>
          </w:p>
        </w:tc>
        <w:tc>
          <w:tcPr>
            <w:tcW w:type="dxa" w:w="2379"/>
            <w:shd w:val="clear" w:color="auto" w:fill="F2F5F9"/>
          </w:tcPr>
          <w:p>
            <w:pPr>
              <w:spacing w:after="40" w:line="276" w:lineRule="auto"/>
            </w:pPr>
            <w:r/>
            <w:r>
              <w:rPr>
                <w:rFonts w:ascii="Times New Roman" w:hAnsi="Times New Roman" w:eastAsia="宋体"/>
                <w:b w:val="0"/>
                <w:i w:val="0"/>
                <w:color w:val="1F2937"/>
                <w:sz w:val="19"/>
              </w:rPr>
              <w:t>只有模型概率或低检出率</w:t>
            </w:r>
          </w:p>
        </w:tc>
        <w:tc>
          <w:tcPr>
            <w:tcW w:type="dxa" w:w="2379"/>
            <w:shd w:val="clear" w:color="auto" w:fill="F2F5F9"/>
          </w:tcPr>
          <w:p>
            <w:pPr>
              <w:spacing w:after="40" w:line="276" w:lineRule="auto"/>
            </w:pPr>
            <w:r/>
            <w:r>
              <w:rPr>
                <w:rFonts w:ascii="Times New Roman" w:hAnsi="Times New Roman" w:eastAsia="宋体"/>
                <w:b w:val="0"/>
                <w:i w:val="0"/>
                <w:color w:val="1F2937"/>
                <w:sz w:val="19"/>
              </w:rPr>
              <w:t>不进入病理结论</w:t>
            </w:r>
          </w:p>
        </w:tc>
        <w:tc>
          <w:tcPr>
            <w:tcW w:type="dxa" w:w="2379"/>
            <w:shd w:val="clear" w:color="auto" w:fill="F2F5F9"/>
          </w:tcPr>
          <w:p>
            <w:pPr>
              <w:spacing w:after="40" w:line="276" w:lineRule="auto"/>
            </w:pPr>
            <w:r/>
            <w:r>
              <w:rPr>
                <w:rFonts w:ascii="Times New Roman" w:hAnsi="Times New Roman" w:eastAsia="宋体"/>
                <w:b w:val="0"/>
                <w:i w:val="0"/>
                <w:color w:val="1F2937"/>
                <w:sz w:val="19"/>
              </w:rPr>
              <w:t>prediction-only candidate</w:t>
            </w:r>
          </w:p>
        </w:tc>
      </w:tr>
    </w:tbl>
    <w:p>
      <w:pPr>
        <w:spacing w:after="40"/>
      </w:pPr>
    </w:p>
    <w:p>
      <w:pPr>
        <w:spacing w:before="0" w:after="120" w:line="336" w:lineRule="auto"/>
        <w:ind w:firstLine="440"/>
      </w:pPr>
      <w:r>
        <w:rPr>
          <w:rFonts w:ascii="Times New Roman" w:hAnsi="Times New Roman" w:eastAsia="宋体"/>
          <w:b w:val="0"/>
          <w:i w:val="0"/>
          <w:color w:val="1F2937"/>
          <w:sz w:val="22"/>
        </w:rPr>
        <w:t>如果老师问“你是找病理相关的肽还是抑制剂相关的肽”，可回答：研究主体是 AD 相关差异肽；病理样和保护/抑制样是对同一差异候选集合进行的方向性分层。不能把论文改成只寻找已知 Aβ 抑制剂，因为那会绕开论文题目中的“AD 患者与健康人群肠道微生物组差异”。</w:t>
      </w:r>
    </w:p>
    <w:p>
      <w:pPr>
        <w:spacing w:before="240" w:after="100" w:line="288" w:lineRule="auto"/>
      </w:pPr>
      <w:r>
        <w:rPr>
          <w:rFonts w:ascii="Times New Roman" w:hAnsi="Times New Roman" w:eastAsia="微软雅黑"/>
          <w:b/>
          <w:i w:val="0"/>
          <w:color w:val="10305A"/>
          <w:sz w:val="27"/>
        </w:rPr>
        <w:t>5.1 机制优先级评分</w:t>
      </w:r>
    </w:p>
    <w:p>
      <w:pPr>
        <w:spacing w:before="0" w:after="120" w:line="336" w:lineRule="auto"/>
        <w:ind w:firstLine="440"/>
      </w:pPr>
      <w:r>
        <w:rPr>
          <w:rFonts w:ascii="Times New Roman" w:hAnsi="Times New Roman" w:eastAsia="宋体"/>
          <w:b w:val="0"/>
          <w:i w:val="0"/>
          <w:color w:val="1F2937"/>
          <w:sz w:val="22"/>
        </w:rPr>
        <w:t>可用 D、G、H、X、M 五项建立候选机制卡片：D 是差异稳健性，G 是来源菌/生态连接，H 是炎症和屏障连接，X 是表达、稳定性和跨区室可行性，M 是膜/LPS/受体/Aβ 的分子方向。每项 0-2 分只用于排序，不是因果概率；真实候选表到位后再填写。</w:t>
      </w:r>
    </w:p>
    <w:p>
      <w:pPr>
        <w:spacing w:before="160" w:after="80" w:line="324" w:lineRule="auto"/>
      </w:pPr>
      <w:r>
        <w:rPr>
          <w:rFonts w:ascii="Times New Roman" w:hAnsi="Times New Roman" w:eastAsia="微软雅黑"/>
          <w:b/>
          <w:i w:val="0"/>
          <w:color w:val="10305A"/>
          <w:sz w:val="21"/>
        </w:rPr>
        <w:t>表 14　候选机制卡片字段</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10305A"/>
          </w:tcPr>
          <w:p>
            <w:pPr>
              <w:jc w:val="center"/>
            </w:pPr>
            <w:r/>
            <w:r>
              <w:rPr>
                <w:rFonts w:ascii="Times New Roman" w:hAnsi="Times New Roman" w:eastAsia="微软雅黑"/>
                <w:b/>
                <w:i w:val="0"/>
                <w:color w:val="FFFFFF"/>
                <w:sz w:val="19"/>
              </w:rPr>
              <w:t>字段</w:t>
            </w:r>
          </w:p>
        </w:tc>
        <w:tc>
          <w:tcPr>
            <w:tcW w:type="dxa" w:w="3173"/>
            <w:shd w:val="clear" w:color="auto" w:fill="10305A"/>
          </w:tcPr>
          <w:p>
            <w:pPr>
              <w:jc w:val="center"/>
            </w:pPr>
            <w:r/>
            <w:r>
              <w:rPr>
                <w:rFonts w:ascii="Times New Roman" w:hAnsi="Times New Roman" w:eastAsia="微软雅黑"/>
                <w:b/>
                <w:i w:val="0"/>
                <w:color w:val="FFFFFF"/>
                <w:sz w:val="19"/>
              </w:rPr>
              <w:t>必须记录</w:t>
            </w:r>
          </w:p>
        </w:tc>
        <w:tc>
          <w:tcPr>
            <w:tcW w:type="dxa" w:w="3173"/>
            <w:shd w:val="clear" w:color="auto" w:fill="10305A"/>
          </w:tcPr>
          <w:p>
            <w:pPr>
              <w:jc w:val="center"/>
            </w:pPr>
            <w:r/>
            <w:r>
              <w:rPr>
                <w:rFonts w:ascii="Times New Roman" w:hAnsi="Times New Roman" w:eastAsia="微软雅黑"/>
                <w:b/>
                <w:i w:val="0"/>
                <w:color w:val="FFFFFF"/>
                <w:sz w:val="19"/>
              </w:rPr>
              <w:t>没有时怎么办</w:t>
            </w:r>
          </w:p>
        </w:tc>
      </w:tr>
      <w:tr>
        <w:tc>
          <w:tcPr>
            <w:tcW w:type="dxa" w:w="3173"/>
          </w:tcPr>
          <w:p>
            <w:pPr>
              <w:spacing w:after="40" w:line="276" w:lineRule="auto"/>
            </w:pPr>
            <w:r/>
            <w:r>
              <w:rPr>
                <w:rFonts w:ascii="Times New Roman" w:hAnsi="Times New Roman" w:eastAsia="宋体"/>
                <w:b w:val="0"/>
                <w:i w:val="0"/>
                <w:color w:val="1F2937"/>
                <w:sz w:val="19"/>
              </w:rPr>
              <w:t>身份</w:t>
            </w:r>
          </w:p>
        </w:tc>
        <w:tc>
          <w:tcPr>
            <w:tcW w:type="dxa" w:w="3173"/>
          </w:tcPr>
          <w:p>
            <w:pPr>
              <w:spacing w:after="40" w:line="276" w:lineRule="auto"/>
            </w:pPr>
            <w:r/>
            <w:r>
              <w:rPr>
                <w:rFonts w:ascii="Times New Roman" w:hAnsi="Times New Roman" w:eastAsia="宋体"/>
                <w:b w:val="0"/>
                <w:i w:val="0"/>
                <w:color w:val="1F2937"/>
                <w:sz w:val="19"/>
              </w:rPr>
              <w:t>candidate ID、序列、长度、电荷、序列簇</w:t>
            </w:r>
          </w:p>
        </w:tc>
        <w:tc>
          <w:tcPr>
            <w:tcW w:type="dxa" w:w="3173"/>
          </w:tcPr>
          <w:p>
            <w:pPr>
              <w:spacing w:after="40" w:line="276" w:lineRule="auto"/>
            </w:pPr>
            <w:r/>
            <w:r>
              <w:rPr>
                <w:rFonts w:ascii="Times New Roman" w:hAnsi="Times New Roman" w:eastAsia="宋体"/>
                <w:b w:val="0"/>
                <w:i w:val="0"/>
                <w:color w:val="1F2937"/>
                <w:sz w:val="19"/>
              </w:rPr>
              <w:t>不进入最终机制结论</w:t>
            </w:r>
          </w:p>
        </w:tc>
      </w:tr>
      <w:tr>
        <w:tc>
          <w:tcPr>
            <w:tcW w:type="dxa" w:w="3173"/>
            <w:shd w:val="clear" w:color="auto" w:fill="F2F5F9"/>
          </w:tcPr>
          <w:p>
            <w:pPr>
              <w:spacing w:after="40" w:line="276" w:lineRule="auto"/>
            </w:pPr>
            <w:r/>
            <w:r>
              <w:rPr>
                <w:rFonts w:ascii="Times New Roman" w:hAnsi="Times New Roman" w:eastAsia="宋体"/>
                <w:b w:val="0"/>
                <w:i w:val="0"/>
                <w:color w:val="1F2937"/>
                <w:sz w:val="19"/>
              </w:rPr>
              <w:t>来源</w:t>
            </w:r>
          </w:p>
        </w:tc>
        <w:tc>
          <w:tcPr>
            <w:tcW w:type="dxa" w:w="3173"/>
            <w:shd w:val="clear" w:color="auto" w:fill="F2F5F9"/>
          </w:tcPr>
          <w:p>
            <w:pPr>
              <w:spacing w:after="40" w:line="276" w:lineRule="auto"/>
            </w:pPr>
            <w:r/>
            <w:r>
              <w:rPr>
                <w:rFonts w:ascii="Times New Roman" w:hAnsi="Times New Roman" w:eastAsia="宋体"/>
                <w:b w:val="0"/>
                <w:i w:val="0"/>
                <w:color w:val="1F2937"/>
                <w:sz w:val="19"/>
              </w:rPr>
              <w:t>ORF、contig、MAG、GTDB-Tk 分类</w:t>
            </w:r>
          </w:p>
        </w:tc>
        <w:tc>
          <w:tcPr>
            <w:tcW w:type="dxa" w:w="3173"/>
            <w:shd w:val="clear" w:color="auto" w:fill="F2F5F9"/>
          </w:tcPr>
          <w:p>
            <w:pPr>
              <w:spacing w:after="40" w:line="276" w:lineRule="auto"/>
            </w:pPr>
            <w:r/>
            <w:r>
              <w:rPr>
                <w:rFonts w:ascii="Times New Roman" w:hAnsi="Times New Roman" w:eastAsia="宋体"/>
                <w:b w:val="0"/>
                <w:i w:val="0"/>
                <w:color w:val="1F2937"/>
                <w:sz w:val="19"/>
              </w:rPr>
              <w:t>只能说未知来源</w:t>
            </w:r>
          </w:p>
        </w:tc>
      </w:tr>
      <w:tr>
        <w:tc>
          <w:tcPr>
            <w:tcW w:type="dxa" w:w="3173"/>
          </w:tcPr>
          <w:p>
            <w:pPr>
              <w:spacing w:after="40" w:line="276" w:lineRule="auto"/>
            </w:pPr>
            <w:r/>
            <w:r>
              <w:rPr>
                <w:rFonts w:ascii="Times New Roman" w:hAnsi="Times New Roman" w:eastAsia="宋体"/>
                <w:b w:val="0"/>
                <w:i w:val="0"/>
                <w:color w:val="1F2937"/>
                <w:sz w:val="19"/>
              </w:rPr>
              <w:t>预测</w:t>
            </w:r>
          </w:p>
        </w:tc>
        <w:tc>
          <w:tcPr>
            <w:tcW w:type="dxa" w:w="3173"/>
          </w:tcPr>
          <w:p>
            <w:pPr>
              <w:spacing w:after="40" w:line="276" w:lineRule="auto"/>
            </w:pPr>
            <w:r/>
            <w:r>
              <w:rPr>
                <w:rFonts w:ascii="Times New Roman" w:hAnsi="Times New Roman" w:eastAsia="宋体"/>
                <w:b w:val="0"/>
                <w:i w:val="0"/>
                <w:color w:val="1F2937"/>
                <w:sz w:val="19"/>
              </w:rPr>
              <w:t>Attention/LSTM/BERT 概率与共识</w:t>
            </w:r>
          </w:p>
        </w:tc>
        <w:tc>
          <w:tcPr>
            <w:tcW w:type="dxa" w:w="3173"/>
          </w:tcPr>
          <w:p>
            <w:pPr>
              <w:spacing w:after="40" w:line="276" w:lineRule="auto"/>
            </w:pPr>
            <w:r/>
            <w:r>
              <w:rPr>
                <w:rFonts w:ascii="Times New Roman" w:hAnsi="Times New Roman" w:eastAsia="宋体"/>
                <w:b w:val="0"/>
                <w:i w:val="0"/>
                <w:color w:val="1F2937"/>
                <w:sz w:val="19"/>
              </w:rPr>
              <w:t>保留模型不确定性</w:t>
            </w:r>
          </w:p>
        </w:tc>
      </w:tr>
      <w:tr>
        <w:tc>
          <w:tcPr>
            <w:tcW w:type="dxa" w:w="3173"/>
            <w:shd w:val="clear" w:color="auto" w:fill="F2F5F9"/>
          </w:tcPr>
          <w:p>
            <w:pPr>
              <w:spacing w:after="40" w:line="276" w:lineRule="auto"/>
            </w:pPr>
            <w:r/>
            <w:r>
              <w:rPr>
                <w:rFonts w:ascii="Times New Roman" w:hAnsi="Times New Roman" w:eastAsia="宋体"/>
                <w:b w:val="0"/>
                <w:i w:val="0"/>
                <w:color w:val="1F2937"/>
                <w:sz w:val="19"/>
              </w:rPr>
              <w:t>差异</w:t>
            </w:r>
          </w:p>
        </w:tc>
        <w:tc>
          <w:tcPr>
            <w:tcW w:type="dxa" w:w="3173"/>
            <w:shd w:val="clear" w:color="auto" w:fill="F2F5F9"/>
          </w:tcPr>
          <w:p>
            <w:pPr>
              <w:spacing w:after="40" w:line="276" w:lineRule="auto"/>
            </w:pPr>
            <w:r/>
            <w:r>
              <w:rPr>
                <w:rFonts w:ascii="Times New Roman" w:hAnsi="Times New Roman" w:eastAsia="宋体"/>
                <w:b w:val="0"/>
                <w:i w:val="0"/>
                <w:color w:val="1F2937"/>
                <w:sz w:val="19"/>
              </w:rPr>
              <w:t>效应量、FDR、检出率、分期趋势</w:t>
            </w:r>
          </w:p>
        </w:tc>
        <w:tc>
          <w:tcPr>
            <w:tcW w:type="dxa" w:w="3173"/>
            <w:shd w:val="clear" w:color="auto" w:fill="F2F5F9"/>
          </w:tcPr>
          <w:p>
            <w:pPr>
              <w:spacing w:after="40" w:line="276" w:lineRule="auto"/>
            </w:pPr>
            <w:r/>
            <w:r>
              <w:rPr>
                <w:rFonts w:ascii="Times New Roman" w:hAnsi="Times New Roman" w:eastAsia="宋体"/>
                <w:b w:val="0"/>
                <w:i w:val="0"/>
                <w:color w:val="1F2937"/>
                <w:sz w:val="19"/>
              </w:rPr>
              <w:t>只能是 prediction-only</w:t>
            </w:r>
          </w:p>
        </w:tc>
      </w:tr>
      <w:tr>
        <w:tc>
          <w:tcPr>
            <w:tcW w:type="dxa" w:w="3173"/>
          </w:tcPr>
          <w:p>
            <w:pPr>
              <w:spacing w:after="40" w:line="276" w:lineRule="auto"/>
            </w:pPr>
            <w:r/>
            <w:r>
              <w:rPr>
                <w:rFonts w:ascii="Times New Roman" w:hAnsi="Times New Roman" w:eastAsia="宋体"/>
                <w:b w:val="0"/>
                <w:i w:val="0"/>
                <w:color w:val="1F2937"/>
                <w:sz w:val="19"/>
              </w:rPr>
              <w:t>表达</w:t>
            </w:r>
          </w:p>
        </w:tc>
        <w:tc>
          <w:tcPr>
            <w:tcW w:type="dxa" w:w="3173"/>
          </w:tcPr>
          <w:p>
            <w:pPr>
              <w:spacing w:after="40" w:line="276" w:lineRule="auto"/>
            </w:pPr>
            <w:r/>
            <w:r>
              <w:rPr>
                <w:rFonts w:ascii="Times New Roman" w:hAnsi="Times New Roman" w:eastAsia="宋体"/>
                <w:b w:val="0"/>
                <w:i w:val="0"/>
                <w:color w:val="1F2937"/>
                <w:sz w:val="19"/>
              </w:rPr>
              <w:t>转录/蛋白/肽组学或分泌线索</w:t>
            </w:r>
          </w:p>
        </w:tc>
        <w:tc>
          <w:tcPr>
            <w:tcW w:type="dxa" w:w="3173"/>
          </w:tcPr>
          <w:p>
            <w:pPr>
              <w:spacing w:after="40" w:line="276" w:lineRule="auto"/>
            </w:pPr>
            <w:r/>
            <w:r>
              <w:rPr>
                <w:rFonts w:ascii="Times New Roman" w:hAnsi="Times New Roman" w:eastAsia="宋体"/>
                <w:b w:val="0"/>
                <w:i w:val="0"/>
                <w:color w:val="1F2937"/>
                <w:sz w:val="19"/>
              </w:rPr>
              <w:t>标记为 DNA-level evidence only</w:t>
            </w:r>
          </w:p>
        </w:tc>
      </w:tr>
      <w:tr>
        <w:tc>
          <w:tcPr>
            <w:tcW w:type="dxa" w:w="3173"/>
            <w:shd w:val="clear" w:color="auto" w:fill="F2F5F9"/>
          </w:tcPr>
          <w:p>
            <w:pPr>
              <w:spacing w:after="40" w:line="276" w:lineRule="auto"/>
            </w:pPr>
            <w:r/>
            <w:r>
              <w:rPr>
                <w:rFonts w:ascii="Times New Roman" w:hAnsi="Times New Roman" w:eastAsia="宋体"/>
                <w:b w:val="0"/>
                <w:i w:val="0"/>
                <w:color w:val="1F2937"/>
                <w:sz w:val="19"/>
              </w:rPr>
              <w:t>机制</w:t>
            </w:r>
          </w:p>
        </w:tc>
        <w:tc>
          <w:tcPr>
            <w:tcW w:type="dxa" w:w="3173"/>
            <w:shd w:val="clear" w:color="auto" w:fill="F2F5F9"/>
          </w:tcPr>
          <w:p>
            <w:pPr>
              <w:spacing w:after="40" w:line="276" w:lineRule="auto"/>
            </w:pPr>
            <w:r/>
            <w:r>
              <w:rPr>
                <w:rFonts w:ascii="Times New Roman" w:hAnsi="Times New Roman" w:eastAsia="宋体"/>
                <w:b w:val="0"/>
                <w:i w:val="0"/>
                <w:color w:val="1F2937"/>
                <w:sz w:val="19"/>
              </w:rPr>
              <w:t>生态、炎症、MD/QM、Aβ/BBB 证据</w:t>
            </w:r>
          </w:p>
        </w:tc>
        <w:tc>
          <w:tcPr>
            <w:tcW w:type="dxa" w:w="3173"/>
            <w:shd w:val="clear" w:color="auto" w:fill="F2F5F9"/>
          </w:tcPr>
          <w:p>
            <w:pPr>
              <w:spacing w:after="40" w:line="276" w:lineRule="auto"/>
            </w:pPr>
            <w:r/>
            <w:r>
              <w:rPr>
                <w:rFonts w:ascii="Times New Roman" w:hAnsi="Times New Roman" w:eastAsia="宋体"/>
                <w:b w:val="0"/>
                <w:i w:val="0"/>
                <w:color w:val="1F2937"/>
                <w:sz w:val="19"/>
              </w:rPr>
              <w:t>方向标为 unknown</w:t>
            </w:r>
          </w:p>
        </w:tc>
      </w:tr>
      <w:tr>
        <w:tc>
          <w:tcPr>
            <w:tcW w:type="dxa" w:w="3173"/>
          </w:tcPr>
          <w:p>
            <w:pPr>
              <w:spacing w:after="40" w:line="276" w:lineRule="auto"/>
            </w:pPr>
            <w:r/>
            <w:r>
              <w:rPr>
                <w:rFonts w:ascii="Times New Roman" w:hAnsi="Times New Roman" w:eastAsia="宋体"/>
                <w:b w:val="0"/>
                <w:i w:val="0"/>
                <w:color w:val="1F2937"/>
                <w:sz w:val="19"/>
              </w:rPr>
              <w:t>结论</w:t>
            </w:r>
          </w:p>
        </w:tc>
        <w:tc>
          <w:tcPr>
            <w:tcW w:type="dxa" w:w="3173"/>
          </w:tcPr>
          <w:p>
            <w:pPr>
              <w:spacing w:after="40" w:line="276" w:lineRule="auto"/>
            </w:pPr>
            <w:r/>
            <w:r>
              <w:rPr>
                <w:rFonts w:ascii="Times New Roman" w:hAnsi="Times New Roman" w:eastAsia="宋体"/>
                <w:b w:val="0"/>
                <w:i w:val="0"/>
                <w:color w:val="1F2937"/>
                <w:sz w:val="19"/>
              </w:rPr>
              <w:t>risk-like/protective/unknown</w:t>
            </w:r>
          </w:p>
        </w:tc>
        <w:tc>
          <w:tcPr>
            <w:tcW w:type="dxa" w:w="3173"/>
          </w:tcPr>
          <w:p>
            <w:pPr>
              <w:spacing w:after="40" w:line="276" w:lineRule="auto"/>
            </w:pPr>
            <w:r/>
            <w:r>
              <w:rPr>
                <w:rFonts w:ascii="Times New Roman" w:hAnsi="Times New Roman" w:eastAsia="宋体"/>
                <w:b w:val="0"/>
                <w:i w:val="0"/>
                <w:color w:val="1F2937"/>
                <w:sz w:val="19"/>
              </w:rPr>
              <w:t>不用 causative peptide</w:t>
            </w:r>
          </w:p>
        </w:tc>
      </w:tr>
    </w:tbl>
    <w:p>
      <w:pPr>
        <w:spacing w:after="40"/>
      </w:pPr>
    </w:p>
    <w:p>
      <w:pPr>
        <w:spacing w:before="320" w:after="160" w:line="288" w:lineRule="auto"/>
      </w:pPr>
      <w:r>
        <w:rPr>
          <w:rFonts w:ascii="Times New Roman" w:hAnsi="Times New Roman" w:eastAsia="微软雅黑"/>
          <w:b/>
          <w:i w:val="0"/>
          <w:color w:val="10305A"/>
          <w:sz w:val="34"/>
        </w:rPr>
        <w:t>六、分子动力学与量化计算如何排优先级</w:t>
      </w:r>
    </w:p>
    <w:p>
      <w:pPr>
        <w:spacing w:before="0" w:after="120" w:line="336" w:lineRule="auto"/>
        <w:ind w:firstLine="440"/>
      </w:pPr>
      <w:r>
        <w:rPr>
          <w:rFonts w:ascii="Times New Roman" w:hAnsi="Times New Roman" w:eastAsia="宋体"/>
          <w:b w:val="0"/>
          <w:i w:val="0"/>
          <w:color w:val="1F2937"/>
          <w:sz w:val="22"/>
        </w:rPr>
        <w:t>对微生物源 AMP，第一优先级应是候选肽与来源菌或相关菌膜、LPS 和 lipid A；第二优先级是 TLR4/MD-2、FPR2 等炎症受体；第三优先级才是 AChE-PAS、Aβ 聚集或 BBB。这个顺序能够避免把一个肠道来源不明、没有表达证据的肽直接解释成脑内 Aβ 作用分子。[67，68，69，70，71，45，72，73]</w:t>
      </w:r>
    </w:p>
    <w:p>
      <w:pPr>
        <w:spacing w:before="160" w:after="80" w:line="324" w:lineRule="auto"/>
      </w:pPr>
      <w:r>
        <w:rPr>
          <w:rFonts w:ascii="Times New Roman" w:hAnsi="Times New Roman" w:eastAsia="微软雅黑"/>
          <w:b/>
          <w:i w:val="0"/>
          <w:color w:val="10305A"/>
          <w:sz w:val="21"/>
        </w:rPr>
        <w:t>表 15　候选 AMP 的 MD/QM 优先级</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0305A"/>
          </w:tcPr>
          <w:p>
            <w:pPr>
              <w:jc w:val="center"/>
            </w:pPr>
            <w:r/>
            <w:r>
              <w:rPr>
                <w:rFonts w:ascii="Times New Roman" w:hAnsi="Times New Roman" w:eastAsia="微软雅黑"/>
                <w:b/>
                <w:i w:val="0"/>
                <w:color w:val="FFFFFF"/>
                <w:sz w:val="19"/>
              </w:rPr>
              <w:t>优先级</w:t>
            </w:r>
          </w:p>
        </w:tc>
        <w:tc>
          <w:tcPr>
            <w:tcW w:type="dxa" w:w="2379"/>
            <w:shd w:val="clear" w:color="auto" w:fill="10305A"/>
          </w:tcPr>
          <w:p>
            <w:pPr>
              <w:jc w:val="center"/>
            </w:pPr>
            <w:r/>
            <w:r>
              <w:rPr>
                <w:rFonts w:ascii="Times New Roman" w:hAnsi="Times New Roman" w:eastAsia="微软雅黑"/>
                <w:b/>
                <w:i w:val="0"/>
                <w:color w:val="FFFFFF"/>
                <w:sz w:val="19"/>
              </w:rPr>
              <w:t>体系</w:t>
            </w:r>
          </w:p>
        </w:tc>
        <w:tc>
          <w:tcPr>
            <w:tcW w:type="dxa" w:w="2379"/>
            <w:shd w:val="clear" w:color="auto" w:fill="10305A"/>
          </w:tcPr>
          <w:p>
            <w:pPr>
              <w:jc w:val="center"/>
            </w:pPr>
            <w:r/>
            <w:r>
              <w:rPr>
                <w:rFonts w:ascii="Times New Roman" w:hAnsi="Times New Roman" w:eastAsia="微软雅黑"/>
                <w:b/>
                <w:i w:val="0"/>
                <w:color w:val="FFFFFF"/>
                <w:sz w:val="19"/>
              </w:rPr>
              <w:t>主要问题</w:t>
            </w:r>
          </w:p>
        </w:tc>
        <w:tc>
          <w:tcPr>
            <w:tcW w:type="dxa" w:w="2379"/>
            <w:shd w:val="clear" w:color="auto" w:fill="10305A"/>
          </w:tcPr>
          <w:p>
            <w:pPr>
              <w:jc w:val="center"/>
            </w:pPr>
            <w:r/>
            <w:r>
              <w:rPr>
                <w:rFonts w:ascii="Times New Roman" w:hAnsi="Times New Roman" w:eastAsia="微软雅黑"/>
                <w:b/>
                <w:i w:val="0"/>
                <w:color w:val="FFFFFF"/>
                <w:sz w:val="19"/>
              </w:rPr>
              <w:t>输出</w:t>
            </w:r>
          </w:p>
        </w:tc>
      </w:tr>
      <w:tr>
        <w:tc>
          <w:tcPr>
            <w:tcW w:type="dxa" w:w="2379"/>
          </w:tcPr>
          <w:p>
            <w:pPr>
              <w:spacing w:after="40" w:line="276" w:lineRule="auto"/>
            </w:pPr>
            <w:r/>
            <w:r>
              <w:rPr>
                <w:rFonts w:ascii="Times New Roman" w:hAnsi="Times New Roman" w:eastAsia="宋体"/>
                <w:b w:val="0"/>
                <w:i w:val="0"/>
                <w:color w:val="1F2937"/>
                <w:sz w:val="19"/>
              </w:rPr>
              <w:t>1</w:t>
            </w:r>
          </w:p>
        </w:tc>
        <w:tc>
          <w:tcPr>
            <w:tcW w:type="dxa" w:w="2379"/>
          </w:tcPr>
          <w:p>
            <w:pPr>
              <w:spacing w:after="40" w:line="276" w:lineRule="auto"/>
            </w:pPr>
            <w:r/>
            <w:r>
              <w:rPr>
                <w:rFonts w:ascii="Times New Roman" w:hAnsi="Times New Roman" w:eastAsia="宋体"/>
                <w:b w:val="0"/>
                <w:i w:val="0"/>
                <w:color w:val="1F2937"/>
                <w:sz w:val="19"/>
              </w:rPr>
              <w:t>AMP + LPS/lipid A/细菌膜</w:t>
            </w:r>
          </w:p>
        </w:tc>
        <w:tc>
          <w:tcPr>
            <w:tcW w:type="dxa" w:w="2379"/>
          </w:tcPr>
          <w:p>
            <w:pPr>
              <w:spacing w:after="40" w:line="276" w:lineRule="auto"/>
            </w:pPr>
            <w:r/>
            <w:r>
              <w:rPr>
                <w:rFonts w:ascii="Times New Roman" w:hAnsi="Times New Roman" w:eastAsia="宋体"/>
                <w:b w:val="0"/>
                <w:i w:val="0"/>
                <w:color w:val="1F2937"/>
                <w:sz w:val="19"/>
              </w:rPr>
              <w:t>是否具有来源相关的膜选择性和生态功能</w:t>
            </w:r>
          </w:p>
        </w:tc>
        <w:tc>
          <w:tcPr>
            <w:tcW w:type="dxa" w:w="2379"/>
          </w:tcPr>
          <w:p>
            <w:pPr>
              <w:spacing w:after="40" w:line="276" w:lineRule="auto"/>
            </w:pPr>
            <w:r/>
            <w:r>
              <w:rPr>
                <w:rFonts w:ascii="Times New Roman" w:hAnsi="Times New Roman" w:eastAsia="宋体"/>
                <w:b w:val="0"/>
                <w:i w:val="0"/>
                <w:color w:val="1F2937"/>
                <w:sz w:val="19"/>
              </w:rPr>
              <w:t>吸附、PMF、孔形成、离子通量</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2</w:t>
            </w:r>
          </w:p>
        </w:tc>
        <w:tc>
          <w:tcPr>
            <w:tcW w:type="dxa" w:w="2379"/>
            <w:shd w:val="clear" w:color="auto" w:fill="F2F5F9"/>
          </w:tcPr>
          <w:p>
            <w:pPr>
              <w:spacing w:after="40" w:line="276" w:lineRule="auto"/>
            </w:pPr>
            <w:r/>
            <w:r>
              <w:rPr>
                <w:rFonts w:ascii="Times New Roman" w:hAnsi="Times New Roman" w:eastAsia="宋体"/>
                <w:b w:val="0"/>
                <w:i w:val="0"/>
                <w:color w:val="1F2937"/>
                <w:sz w:val="19"/>
              </w:rPr>
              <w:t>AMP + TLR4/MD-2/FPR2 等</w:t>
            </w:r>
          </w:p>
        </w:tc>
        <w:tc>
          <w:tcPr>
            <w:tcW w:type="dxa" w:w="2379"/>
            <w:shd w:val="clear" w:color="auto" w:fill="F2F5F9"/>
          </w:tcPr>
          <w:p>
            <w:pPr>
              <w:spacing w:after="40" w:line="276" w:lineRule="auto"/>
            </w:pPr>
            <w:r/>
            <w:r>
              <w:rPr>
                <w:rFonts w:ascii="Times New Roman" w:hAnsi="Times New Roman" w:eastAsia="宋体"/>
                <w:b w:val="0"/>
                <w:i w:val="0"/>
                <w:color w:val="1F2937"/>
                <w:sz w:val="19"/>
              </w:rPr>
              <w:t>是否存在炎症受体结构线索</w:t>
            </w:r>
          </w:p>
        </w:tc>
        <w:tc>
          <w:tcPr>
            <w:tcW w:type="dxa" w:w="2379"/>
            <w:shd w:val="clear" w:color="auto" w:fill="F2F5F9"/>
          </w:tcPr>
          <w:p>
            <w:pPr>
              <w:spacing w:after="40" w:line="276" w:lineRule="auto"/>
            </w:pPr>
            <w:r/>
            <w:r>
              <w:rPr>
                <w:rFonts w:ascii="Times New Roman" w:hAnsi="Times New Roman" w:eastAsia="宋体"/>
                <w:b w:val="0"/>
                <w:i w:val="0"/>
                <w:color w:val="1F2937"/>
                <w:sz w:val="19"/>
              </w:rPr>
              <w:t>界面、驻留、构象和网络方向</w:t>
            </w:r>
          </w:p>
        </w:tc>
      </w:tr>
      <w:tr>
        <w:tc>
          <w:tcPr>
            <w:tcW w:type="dxa" w:w="2379"/>
          </w:tcPr>
          <w:p>
            <w:pPr>
              <w:spacing w:after="40" w:line="276" w:lineRule="auto"/>
            </w:pPr>
            <w:r/>
            <w:r>
              <w:rPr>
                <w:rFonts w:ascii="Times New Roman" w:hAnsi="Times New Roman" w:eastAsia="宋体"/>
                <w:b w:val="0"/>
                <w:i w:val="0"/>
                <w:color w:val="1F2937"/>
                <w:sz w:val="19"/>
              </w:rPr>
              <w:t>3</w:t>
            </w:r>
          </w:p>
        </w:tc>
        <w:tc>
          <w:tcPr>
            <w:tcW w:type="dxa" w:w="2379"/>
          </w:tcPr>
          <w:p>
            <w:pPr>
              <w:spacing w:after="40" w:line="276" w:lineRule="auto"/>
            </w:pPr>
            <w:r/>
            <w:r>
              <w:rPr>
                <w:rFonts w:ascii="Times New Roman" w:hAnsi="Times New Roman" w:eastAsia="宋体"/>
                <w:b w:val="0"/>
                <w:i w:val="0"/>
                <w:color w:val="1F2937"/>
                <w:sz w:val="19"/>
              </w:rPr>
              <w:t>AMP + Aβ/AChE-PAS</w:t>
            </w:r>
          </w:p>
        </w:tc>
        <w:tc>
          <w:tcPr>
            <w:tcW w:type="dxa" w:w="2379"/>
          </w:tcPr>
          <w:p>
            <w:pPr>
              <w:spacing w:after="40" w:line="276" w:lineRule="auto"/>
            </w:pPr>
            <w:r/>
            <w:r>
              <w:rPr>
                <w:rFonts w:ascii="Times New Roman" w:hAnsi="Times New Roman" w:eastAsia="宋体"/>
                <w:b w:val="0"/>
                <w:i w:val="0"/>
                <w:color w:val="1F2937"/>
                <w:sz w:val="19"/>
              </w:rPr>
              <w:t>是否改变聚集路径或竞争界面</w:t>
            </w:r>
          </w:p>
        </w:tc>
        <w:tc>
          <w:tcPr>
            <w:tcW w:type="dxa" w:w="2379"/>
          </w:tcPr>
          <w:p>
            <w:pPr>
              <w:spacing w:after="40" w:line="276" w:lineRule="auto"/>
            </w:pPr>
            <w:r/>
            <w:r>
              <w:rPr>
                <w:rFonts w:ascii="Times New Roman" w:hAnsi="Times New Roman" w:eastAsia="宋体"/>
                <w:b w:val="0"/>
                <w:i w:val="0"/>
                <w:color w:val="1F2937"/>
                <w:sz w:val="19"/>
              </w:rPr>
              <w:t>寡聚体、β-sheet、PMF、聚集方向</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4</w:t>
            </w:r>
          </w:p>
        </w:tc>
        <w:tc>
          <w:tcPr>
            <w:tcW w:type="dxa" w:w="2379"/>
            <w:shd w:val="clear" w:color="auto" w:fill="F2F5F9"/>
          </w:tcPr>
          <w:p>
            <w:pPr>
              <w:spacing w:after="40" w:line="276" w:lineRule="auto"/>
            </w:pPr>
            <w:r/>
            <w:r>
              <w:rPr>
                <w:rFonts w:ascii="Times New Roman" w:hAnsi="Times New Roman" w:eastAsia="宋体"/>
                <w:b w:val="0"/>
                <w:i w:val="0"/>
                <w:color w:val="1F2937"/>
                <w:sz w:val="19"/>
              </w:rPr>
              <w:t>AMP + BBB 膜/转运体</w:t>
            </w:r>
          </w:p>
        </w:tc>
        <w:tc>
          <w:tcPr>
            <w:tcW w:type="dxa" w:w="2379"/>
            <w:shd w:val="clear" w:color="auto" w:fill="F2F5F9"/>
          </w:tcPr>
          <w:p>
            <w:pPr>
              <w:spacing w:after="40" w:line="276" w:lineRule="auto"/>
            </w:pPr>
            <w:r/>
            <w:r>
              <w:rPr>
                <w:rFonts w:ascii="Times New Roman" w:hAnsi="Times New Roman" w:eastAsia="宋体"/>
                <w:b w:val="0"/>
                <w:i w:val="0"/>
                <w:color w:val="1F2937"/>
                <w:sz w:val="19"/>
              </w:rPr>
              <w:t>直接入脑是否物理可行</w:t>
            </w:r>
          </w:p>
        </w:tc>
        <w:tc>
          <w:tcPr>
            <w:tcW w:type="dxa" w:w="2379"/>
            <w:shd w:val="clear" w:color="auto" w:fill="F2F5F9"/>
          </w:tcPr>
          <w:p>
            <w:pPr>
              <w:spacing w:after="40" w:line="276" w:lineRule="auto"/>
            </w:pPr>
            <w:r/>
            <w:r>
              <w:rPr>
                <w:rFonts w:ascii="Times New Roman" w:hAnsi="Times New Roman" w:eastAsia="宋体"/>
                <w:b w:val="0"/>
                <w:i w:val="0"/>
                <w:color w:val="1F2937"/>
                <w:sz w:val="19"/>
              </w:rPr>
              <w:t>膜 PMF、Papp、转运路径</w:t>
            </w:r>
          </w:p>
        </w:tc>
      </w:tr>
    </w:tbl>
    <w:p>
      <w:pPr>
        <w:spacing w:after="40"/>
      </w:pPr>
    </w:p>
    <w:p>
      <w:pPr>
        <w:spacing w:before="0" w:after="120" w:line="336" w:lineRule="auto"/>
        <w:ind w:firstLine="440"/>
      </w:pPr>
      <w:r>
        <w:rPr>
          <w:rFonts w:ascii="Times New Roman" w:hAnsi="Times New Roman" w:eastAsia="宋体"/>
          <w:b w:val="0"/>
          <w:i w:val="0"/>
          <w:color w:val="1F2937"/>
          <w:sz w:val="22"/>
        </w:rPr>
        <w:t>MD 结果必须包括重复、收敛、力场敏感性和误差。MM-PBSA、伞形采样或 DFT 只能把结构假设量化，不能独立产生细胞或动物因果。对 Aβ，要分单体、寡聚体和纤维；对 BBB，要先确认暴露和完整肽稳定性。</w:t>
      </w:r>
    </w:p>
    <w:p>
      <w:pPr>
        <w:spacing w:before="160" w:after="80" w:line="324" w:lineRule="auto"/>
      </w:pPr>
      <w:r>
        <w:rPr>
          <w:rFonts w:ascii="Times New Roman" w:hAnsi="Times New Roman" w:eastAsia="微软雅黑"/>
          <w:b/>
          <w:i w:val="0"/>
          <w:color w:val="10305A"/>
          <w:sz w:val="21"/>
        </w:rPr>
        <w:t>表 16　Aβ/BBB 追加计算的进入条件</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10305A"/>
          </w:tcPr>
          <w:p>
            <w:pPr>
              <w:jc w:val="center"/>
            </w:pPr>
            <w:r/>
            <w:r>
              <w:rPr>
                <w:rFonts w:ascii="Times New Roman" w:hAnsi="Times New Roman" w:eastAsia="微软雅黑"/>
                <w:b/>
                <w:i w:val="0"/>
                <w:color w:val="FFFFFF"/>
                <w:sz w:val="19"/>
              </w:rPr>
              <w:t>条件</w:t>
            </w:r>
          </w:p>
        </w:tc>
        <w:tc>
          <w:tcPr>
            <w:tcW w:type="dxa" w:w="3173"/>
            <w:shd w:val="clear" w:color="auto" w:fill="10305A"/>
          </w:tcPr>
          <w:p>
            <w:pPr>
              <w:jc w:val="center"/>
            </w:pPr>
            <w:r/>
            <w:r>
              <w:rPr>
                <w:rFonts w:ascii="Times New Roman" w:hAnsi="Times New Roman" w:eastAsia="微软雅黑"/>
                <w:b/>
                <w:i w:val="0"/>
                <w:color w:val="FFFFFF"/>
                <w:sz w:val="19"/>
              </w:rPr>
              <w:t>必须有的证据</w:t>
            </w:r>
          </w:p>
        </w:tc>
        <w:tc>
          <w:tcPr>
            <w:tcW w:type="dxa" w:w="3173"/>
            <w:shd w:val="clear" w:color="auto" w:fill="10305A"/>
          </w:tcPr>
          <w:p>
            <w:pPr>
              <w:jc w:val="center"/>
            </w:pPr>
            <w:r/>
            <w:r>
              <w:rPr>
                <w:rFonts w:ascii="Times New Roman" w:hAnsi="Times New Roman" w:eastAsia="微软雅黑"/>
                <w:b/>
                <w:i w:val="0"/>
                <w:color w:val="FFFFFF"/>
                <w:sz w:val="19"/>
              </w:rPr>
              <w:t>没有时的降级写法</w:t>
            </w:r>
          </w:p>
        </w:tc>
      </w:tr>
      <w:tr>
        <w:tc>
          <w:tcPr>
            <w:tcW w:type="dxa" w:w="3173"/>
          </w:tcPr>
          <w:p>
            <w:pPr>
              <w:spacing w:after="40" w:line="276" w:lineRule="auto"/>
            </w:pPr>
            <w:r/>
            <w:r>
              <w:rPr>
                <w:rFonts w:ascii="Times New Roman" w:hAnsi="Times New Roman" w:eastAsia="宋体"/>
                <w:b w:val="0"/>
                <w:i w:val="0"/>
                <w:color w:val="1F2937"/>
                <w:sz w:val="19"/>
              </w:rPr>
              <w:t>候选差异</w:t>
            </w:r>
          </w:p>
        </w:tc>
        <w:tc>
          <w:tcPr>
            <w:tcW w:type="dxa" w:w="3173"/>
          </w:tcPr>
          <w:p>
            <w:pPr>
              <w:spacing w:after="40" w:line="276" w:lineRule="auto"/>
            </w:pPr>
            <w:r/>
            <w:r>
              <w:rPr>
                <w:rFonts w:ascii="Times New Roman" w:hAnsi="Times New Roman" w:eastAsia="宋体"/>
                <w:b w:val="0"/>
                <w:i w:val="0"/>
                <w:color w:val="1F2937"/>
                <w:sz w:val="19"/>
              </w:rPr>
              <w:t>AD/健康或阶段差异稳定</w:t>
            </w:r>
          </w:p>
        </w:tc>
        <w:tc>
          <w:tcPr>
            <w:tcW w:type="dxa" w:w="3173"/>
          </w:tcPr>
          <w:p>
            <w:pPr>
              <w:spacing w:after="40" w:line="276" w:lineRule="auto"/>
            </w:pPr>
            <w:r/>
            <w:r>
              <w:rPr>
                <w:rFonts w:ascii="Times New Roman" w:hAnsi="Times New Roman" w:eastAsia="宋体"/>
                <w:b w:val="0"/>
                <w:i w:val="0"/>
                <w:color w:val="1F2937"/>
                <w:sz w:val="19"/>
              </w:rPr>
              <w:t>只是 AMP prediction</w:t>
            </w:r>
          </w:p>
        </w:tc>
      </w:tr>
      <w:tr>
        <w:tc>
          <w:tcPr>
            <w:tcW w:type="dxa" w:w="3173"/>
            <w:shd w:val="clear" w:color="auto" w:fill="F2F5F9"/>
          </w:tcPr>
          <w:p>
            <w:pPr>
              <w:spacing w:after="40" w:line="276" w:lineRule="auto"/>
            </w:pPr>
            <w:r/>
            <w:r>
              <w:rPr>
                <w:rFonts w:ascii="Times New Roman" w:hAnsi="Times New Roman" w:eastAsia="宋体"/>
                <w:b w:val="0"/>
                <w:i w:val="0"/>
                <w:color w:val="1F2937"/>
                <w:sz w:val="19"/>
              </w:rPr>
              <w:t>来源表达</w:t>
            </w:r>
          </w:p>
        </w:tc>
        <w:tc>
          <w:tcPr>
            <w:tcW w:type="dxa" w:w="3173"/>
            <w:shd w:val="clear" w:color="auto" w:fill="F2F5F9"/>
          </w:tcPr>
          <w:p>
            <w:pPr>
              <w:spacing w:after="40" w:line="276" w:lineRule="auto"/>
            </w:pPr>
            <w:r/>
            <w:r>
              <w:rPr>
                <w:rFonts w:ascii="Times New Roman" w:hAnsi="Times New Roman" w:eastAsia="宋体"/>
                <w:b w:val="0"/>
                <w:i w:val="0"/>
                <w:color w:val="1F2937"/>
                <w:sz w:val="19"/>
              </w:rPr>
              <w:t>宏蛋白组/肽组学/转录或分泌线索</w:t>
            </w:r>
          </w:p>
        </w:tc>
        <w:tc>
          <w:tcPr>
            <w:tcW w:type="dxa" w:w="3173"/>
            <w:shd w:val="clear" w:color="auto" w:fill="F2F5F9"/>
          </w:tcPr>
          <w:p>
            <w:pPr>
              <w:spacing w:after="40" w:line="276" w:lineRule="auto"/>
            </w:pPr>
            <w:r/>
            <w:r>
              <w:rPr>
                <w:rFonts w:ascii="Times New Roman" w:hAnsi="Times New Roman" w:eastAsia="宋体"/>
                <w:b w:val="0"/>
                <w:i w:val="0"/>
                <w:color w:val="1F2937"/>
                <w:sz w:val="19"/>
              </w:rPr>
              <w:t>远端肠道关联</w:t>
            </w:r>
          </w:p>
        </w:tc>
      </w:tr>
      <w:tr>
        <w:tc>
          <w:tcPr>
            <w:tcW w:type="dxa" w:w="3173"/>
          </w:tcPr>
          <w:p>
            <w:pPr>
              <w:spacing w:after="40" w:line="276" w:lineRule="auto"/>
            </w:pPr>
            <w:r/>
            <w:r>
              <w:rPr>
                <w:rFonts w:ascii="Times New Roman" w:hAnsi="Times New Roman" w:eastAsia="宋体"/>
                <w:b w:val="0"/>
                <w:i w:val="0"/>
                <w:color w:val="1F2937"/>
                <w:sz w:val="19"/>
              </w:rPr>
              <w:t>区室暴露</w:t>
            </w:r>
          </w:p>
        </w:tc>
        <w:tc>
          <w:tcPr>
            <w:tcW w:type="dxa" w:w="3173"/>
          </w:tcPr>
          <w:p>
            <w:pPr>
              <w:spacing w:after="40" w:line="276" w:lineRule="auto"/>
            </w:pPr>
            <w:r/>
            <w:r>
              <w:rPr>
                <w:rFonts w:ascii="Times New Roman" w:hAnsi="Times New Roman" w:eastAsia="宋体"/>
                <w:b w:val="0"/>
                <w:i w:val="0"/>
                <w:color w:val="1F2937"/>
                <w:sz w:val="19"/>
              </w:rPr>
              <w:t>血液/屏障/稳定性或转运依据</w:t>
            </w:r>
          </w:p>
        </w:tc>
        <w:tc>
          <w:tcPr>
            <w:tcW w:type="dxa" w:w="3173"/>
          </w:tcPr>
          <w:p>
            <w:pPr>
              <w:spacing w:after="40" w:line="276" w:lineRule="auto"/>
            </w:pPr>
            <w:r/>
            <w:r>
              <w:rPr>
                <w:rFonts w:ascii="Times New Roman" w:hAnsi="Times New Roman" w:eastAsia="宋体"/>
                <w:b w:val="0"/>
                <w:i w:val="0"/>
                <w:color w:val="1F2937"/>
                <w:sz w:val="19"/>
              </w:rPr>
              <w:t>不能说进入脑</w:t>
            </w:r>
          </w:p>
        </w:tc>
      </w:tr>
      <w:tr>
        <w:tc>
          <w:tcPr>
            <w:tcW w:type="dxa" w:w="3173"/>
            <w:shd w:val="clear" w:color="auto" w:fill="F2F5F9"/>
          </w:tcPr>
          <w:p>
            <w:pPr>
              <w:spacing w:after="40" w:line="276" w:lineRule="auto"/>
            </w:pPr>
            <w:r/>
            <w:r>
              <w:rPr>
                <w:rFonts w:ascii="Times New Roman" w:hAnsi="Times New Roman" w:eastAsia="宋体"/>
                <w:b w:val="0"/>
                <w:i w:val="0"/>
                <w:color w:val="1F2937"/>
                <w:sz w:val="19"/>
              </w:rPr>
              <w:t>方向读数</w:t>
            </w:r>
          </w:p>
        </w:tc>
        <w:tc>
          <w:tcPr>
            <w:tcW w:type="dxa" w:w="3173"/>
            <w:shd w:val="clear" w:color="auto" w:fill="F2F5F9"/>
          </w:tcPr>
          <w:p>
            <w:pPr>
              <w:spacing w:after="40" w:line="276" w:lineRule="auto"/>
            </w:pPr>
            <w:r/>
            <w:r>
              <w:rPr>
                <w:rFonts w:ascii="Times New Roman" w:hAnsi="Times New Roman" w:eastAsia="宋体"/>
                <w:b w:val="0"/>
                <w:i w:val="0"/>
                <w:color w:val="1F2937"/>
                <w:sz w:val="19"/>
              </w:rPr>
              <w:t>寡聚体、膜、炎症至少一个方向</w:t>
            </w:r>
          </w:p>
        </w:tc>
        <w:tc>
          <w:tcPr>
            <w:tcW w:type="dxa" w:w="3173"/>
            <w:shd w:val="clear" w:color="auto" w:fill="F2F5F9"/>
          </w:tcPr>
          <w:p>
            <w:pPr>
              <w:spacing w:after="40" w:line="276" w:lineRule="auto"/>
            </w:pPr>
            <w:r/>
            <w:r>
              <w:rPr>
                <w:rFonts w:ascii="Times New Roman" w:hAnsi="Times New Roman" w:eastAsia="宋体"/>
                <w:b w:val="0"/>
                <w:i w:val="0"/>
                <w:color w:val="1F2937"/>
                <w:sz w:val="19"/>
              </w:rPr>
              <w:t>Aβ binding, direction unresolved</w:t>
            </w:r>
          </w:p>
        </w:tc>
      </w:tr>
      <w:tr>
        <w:tc>
          <w:tcPr>
            <w:tcW w:type="dxa" w:w="3173"/>
          </w:tcPr>
          <w:p>
            <w:pPr>
              <w:spacing w:after="40" w:line="276" w:lineRule="auto"/>
            </w:pPr>
            <w:r/>
            <w:r>
              <w:rPr>
                <w:rFonts w:ascii="Times New Roman" w:hAnsi="Times New Roman" w:eastAsia="宋体"/>
                <w:b w:val="0"/>
                <w:i w:val="0"/>
                <w:color w:val="1F2937"/>
                <w:sz w:val="19"/>
              </w:rPr>
              <w:t>验证</w:t>
            </w:r>
          </w:p>
        </w:tc>
        <w:tc>
          <w:tcPr>
            <w:tcW w:type="dxa" w:w="3173"/>
          </w:tcPr>
          <w:p>
            <w:pPr>
              <w:spacing w:after="40" w:line="276" w:lineRule="auto"/>
            </w:pPr>
            <w:r/>
            <w:r>
              <w:rPr>
                <w:rFonts w:ascii="Times New Roman" w:hAnsi="Times New Roman" w:eastAsia="宋体"/>
                <w:b w:val="0"/>
                <w:i w:val="0"/>
                <w:color w:val="1F2937"/>
                <w:sz w:val="19"/>
              </w:rPr>
              <w:t>阻断/加入/去除改变表型</w:t>
            </w:r>
          </w:p>
        </w:tc>
        <w:tc>
          <w:tcPr>
            <w:tcW w:type="dxa" w:w="3173"/>
          </w:tcPr>
          <w:p>
            <w:pPr>
              <w:spacing w:after="40" w:line="276" w:lineRule="auto"/>
            </w:pPr>
            <w:r/>
            <w:r>
              <w:rPr>
                <w:rFonts w:ascii="Times New Roman" w:hAnsi="Times New Roman" w:eastAsia="宋体"/>
                <w:b w:val="0"/>
                <w:i w:val="0"/>
                <w:color w:val="1F2937"/>
                <w:sz w:val="19"/>
              </w:rPr>
              <w:t>机制假设，不是因果</w:t>
            </w:r>
          </w:p>
        </w:tc>
      </w:tr>
    </w:tbl>
    <w:p>
      <w:pPr>
        <w:spacing w:after="40"/>
      </w:pPr>
    </w:p>
    <w:p>
      <w:pPr>
        <w:spacing w:before="320" w:after="160" w:line="288" w:lineRule="auto"/>
      </w:pPr>
      <w:r>
        <w:rPr>
          <w:rFonts w:ascii="Times New Roman" w:hAnsi="Times New Roman" w:eastAsia="微软雅黑"/>
          <w:b/>
          <w:i w:val="0"/>
          <w:color w:val="10305A"/>
          <w:sz w:val="34"/>
        </w:rPr>
        <w:t>七、目前可以给出的结果、还不能给出的结果</w:t>
      </w:r>
    </w:p>
    <w:p>
      <w:pPr>
        <w:spacing w:before="0" w:after="120" w:line="336" w:lineRule="auto"/>
        <w:ind w:firstLine="440"/>
      </w:pPr>
      <w:r>
        <w:rPr>
          <w:rFonts w:ascii="Times New Roman" w:hAnsi="Times New Roman" w:eastAsia="宋体"/>
          <w:b w:val="0"/>
          <w:i w:val="0"/>
          <w:color w:val="1F2937"/>
          <w:sz w:val="22"/>
        </w:rPr>
        <w:t>如果当前还没有真实的候选 FASTA、样本×肽丰度矩阵和差异统计表，就不能在中期材料中写“已经找到某条微生物源抗菌肽导致 AD”。可以写的是：已经建立候选预测和机制关联框架，等待真实差异结果；可以明确写出候选肽如何分层、如何计算、如何验证。</w:t>
      </w:r>
    </w:p>
    <w:p>
      <w:pPr>
        <w:spacing w:before="160" w:after="80" w:line="324" w:lineRule="auto"/>
      </w:pPr>
      <w:r>
        <w:rPr>
          <w:rFonts w:ascii="Times New Roman" w:hAnsi="Times New Roman" w:eastAsia="微软雅黑"/>
          <w:b/>
          <w:i w:val="0"/>
          <w:color w:val="10305A"/>
          <w:sz w:val="21"/>
        </w:rPr>
        <w:t>表 17　结果状态和正确措辞</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10305A"/>
          </w:tcPr>
          <w:p>
            <w:pPr>
              <w:jc w:val="center"/>
            </w:pPr>
            <w:r/>
            <w:r>
              <w:rPr>
                <w:rFonts w:ascii="Times New Roman" w:hAnsi="Times New Roman" w:eastAsia="微软雅黑"/>
                <w:b/>
                <w:i w:val="0"/>
                <w:color w:val="FFFFFF"/>
                <w:sz w:val="19"/>
              </w:rPr>
              <w:t>状态</w:t>
            </w:r>
          </w:p>
        </w:tc>
        <w:tc>
          <w:tcPr>
            <w:tcW w:type="dxa" w:w="3173"/>
            <w:shd w:val="clear" w:color="auto" w:fill="10305A"/>
          </w:tcPr>
          <w:p>
            <w:pPr>
              <w:jc w:val="center"/>
            </w:pPr>
            <w:r/>
            <w:r>
              <w:rPr>
                <w:rFonts w:ascii="Times New Roman" w:hAnsi="Times New Roman" w:eastAsia="微软雅黑"/>
                <w:b/>
                <w:i w:val="0"/>
                <w:color w:val="FFFFFF"/>
                <w:sz w:val="19"/>
              </w:rPr>
              <w:t>可以写</w:t>
            </w:r>
          </w:p>
        </w:tc>
        <w:tc>
          <w:tcPr>
            <w:tcW w:type="dxa" w:w="3173"/>
            <w:shd w:val="clear" w:color="auto" w:fill="10305A"/>
          </w:tcPr>
          <w:p>
            <w:pPr>
              <w:jc w:val="center"/>
            </w:pPr>
            <w:r/>
            <w:r>
              <w:rPr>
                <w:rFonts w:ascii="Times New Roman" w:hAnsi="Times New Roman" w:eastAsia="微软雅黑"/>
                <w:b/>
                <w:i w:val="0"/>
                <w:color w:val="FFFFFF"/>
                <w:sz w:val="19"/>
              </w:rPr>
              <w:t>不能写</w:t>
            </w:r>
          </w:p>
        </w:tc>
      </w:tr>
      <w:tr>
        <w:tc>
          <w:tcPr>
            <w:tcW w:type="dxa" w:w="3173"/>
          </w:tcPr>
          <w:p>
            <w:pPr>
              <w:spacing w:after="40" w:line="276" w:lineRule="auto"/>
            </w:pPr>
            <w:r/>
            <w:r>
              <w:rPr>
                <w:rFonts w:ascii="Times New Roman" w:hAnsi="Times New Roman" w:eastAsia="宋体"/>
                <w:b w:val="0"/>
                <w:i w:val="0"/>
                <w:color w:val="1F2937"/>
                <w:sz w:val="19"/>
              </w:rPr>
              <w:t>方法已完成</w:t>
            </w:r>
          </w:p>
        </w:tc>
        <w:tc>
          <w:tcPr>
            <w:tcW w:type="dxa" w:w="3173"/>
          </w:tcPr>
          <w:p>
            <w:pPr>
              <w:spacing w:after="40" w:line="276" w:lineRule="auto"/>
            </w:pPr>
            <w:r/>
            <w:r>
              <w:rPr>
                <w:rFonts w:ascii="Times New Roman" w:hAnsi="Times New Roman" w:eastAsia="宋体"/>
                <w:b w:val="0"/>
                <w:i w:val="0"/>
                <w:color w:val="1F2937"/>
                <w:sz w:val="19"/>
              </w:rPr>
              <w:t>建立短肽库、模型共识和差异分析流程</w:t>
            </w:r>
          </w:p>
        </w:tc>
        <w:tc>
          <w:tcPr>
            <w:tcW w:type="dxa" w:w="3173"/>
          </w:tcPr>
          <w:p>
            <w:pPr>
              <w:spacing w:after="40" w:line="276" w:lineRule="auto"/>
            </w:pPr>
            <w:r/>
            <w:r>
              <w:rPr>
                <w:rFonts w:ascii="Times New Roman" w:hAnsi="Times New Roman" w:eastAsia="宋体"/>
                <w:b w:val="0"/>
                <w:i w:val="0"/>
                <w:color w:val="1F2937"/>
                <w:sz w:val="19"/>
              </w:rPr>
              <w:t>已发现致病 AMP</w:t>
            </w:r>
          </w:p>
        </w:tc>
      </w:tr>
      <w:tr>
        <w:tc>
          <w:tcPr>
            <w:tcW w:type="dxa" w:w="3173"/>
            <w:shd w:val="clear" w:color="auto" w:fill="F2F5F9"/>
          </w:tcPr>
          <w:p>
            <w:pPr>
              <w:spacing w:after="40" w:line="276" w:lineRule="auto"/>
            </w:pPr>
            <w:r/>
            <w:r>
              <w:rPr>
                <w:rFonts w:ascii="Times New Roman" w:hAnsi="Times New Roman" w:eastAsia="宋体"/>
                <w:b w:val="0"/>
                <w:i w:val="0"/>
                <w:color w:val="1F2937"/>
                <w:sz w:val="19"/>
              </w:rPr>
              <w:t>预测已完成</w:t>
            </w:r>
          </w:p>
        </w:tc>
        <w:tc>
          <w:tcPr>
            <w:tcW w:type="dxa" w:w="3173"/>
            <w:shd w:val="clear" w:color="auto" w:fill="F2F5F9"/>
          </w:tcPr>
          <w:p>
            <w:pPr>
              <w:spacing w:after="40" w:line="276" w:lineRule="auto"/>
            </w:pPr>
            <w:r/>
            <w:r>
              <w:rPr>
                <w:rFonts w:ascii="Times New Roman" w:hAnsi="Times New Roman" w:eastAsia="宋体"/>
                <w:b w:val="0"/>
                <w:i w:val="0"/>
                <w:color w:val="1F2937"/>
                <w:sz w:val="19"/>
              </w:rPr>
              <w:t>得到 AMP prediction candidates</w:t>
            </w:r>
          </w:p>
        </w:tc>
        <w:tc>
          <w:tcPr>
            <w:tcW w:type="dxa" w:w="3173"/>
            <w:shd w:val="clear" w:color="auto" w:fill="F2F5F9"/>
          </w:tcPr>
          <w:p>
            <w:pPr>
              <w:spacing w:after="40" w:line="276" w:lineRule="auto"/>
            </w:pPr>
            <w:r/>
            <w:r>
              <w:rPr>
                <w:rFonts w:ascii="Times New Roman" w:hAnsi="Times New Roman" w:eastAsia="宋体"/>
                <w:b w:val="0"/>
                <w:i w:val="0"/>
                <w:color w:val="1F2937"/>
                <w:sz w:val="19"/>
              </w:rPr>
              <w:t>这些肽在脑内起作用</w:t>
            </w:r>
          </w:p>
        </w:tc>
      </w:tr>
      <w:tr>
        <w:tc>
          <w:tcPr>
            <w:tcW w:type="dxa" w:w="3173"/>
          </w:tcPr>
          <w:p>
            <w:pPr>
              <w:spacing w:after="40" w:line="276" w:lineRule="auto"/>
            </w:pPr>
            <w:r/>
            <w:r>
              <w:rPr>
                <w:rFonts w:ascii="Times New Roman" w:hAnsi="Times New Roman" w:eastAsia="宋体"/>
                <w:b w:val="0"/>
                <w:i w:val="0"/>
                <w:color w:val="1F2937"/>
                <w:sz w:val="19"/>
              </w:rPr>
              <w:t>差异已完成</w:t>
            </w:r>
          </w:p>
        </w:tc>
        <w:tc>
          <w:tcPr>
            <w:tcW w:type="dxa" w:w="3173"/>
          </w:tcPr>
          <w:p>
            <w:pPr>
              <w:spacing w:after="40" w:line="276" w:lineRule="auto"/>
            </w:pPr>
            <w:r/>
            <w:r>
              <w:rPr>
                <w:rFonts w:ascii="Times New Roman" w:hAnsi="Times New Roman" w:eastAsia="宋体"/>
                <w:b w:val="0"/>
                <w:i w:val="0"/>
                <w:color w:val="1F2937"/>
                <w:sz w:val="19"/>
              </w:rPr>
              <w:t>得到 AD-associated differential AMP</w:t>
            </w:r>
          </w:p>
        </w:tc>
        <w:tc>
          <w:tcPr>
            <w:tcW w:type="dxa" w:w="3173"/>
          </w:tcPr>
          <w:p>
            <w:pPr>
              <w:spacing w:after="40" w:line="276" w:lineRule="auto"/>
            </w:pPr>
            <w:r/>
            <w:r>
              <w:rPr>
                <w:rFonts w:ascii="Times New Roman" w:hAnsi="Times New Roman" w:eastAsia="宋体"/>
                <w:b w:val="0"/>
                <w:i w:val="0"/>
                <w:color w:val="1F2937"/>
                <w:sz w:val="19"/>
              </w:rPr>
              <w:t>差异说明因果</w:t>
            </w:r>
          </w:p>
        </w:tc>
      </w:tr>
      <w:tr>
        <w:tc>
          <w:tcPr>
            <w:tcW w:type="dxa" w:w="3173"/>
            <w:shd w:val="clear" w:color="auto" w:fill="F2F5F9"/>
          </w:tcPr>
          <w:p>
            <w:pPr>
              <w:spacing w:after="40" w:line="276" w:lineRule="auto"/>
            </w:pPr>
            <w:r/>
            <w:r>
              <w:rPr>
                <w:rFonts w:ascii="Times New Roman" w:hAnsi="Times New Roman" w:eastAsia="宋体"/>
                <w:b w:val="0"/>
                <w:i w:val="0"/>
                <w:color w:val="1F2937"/>
                <w:sz w:val="19"/>
              </w:rPr>
              <w:t>机制计算完成</w:t>
            </w:r>
          </w:p>
        </w:tc>
        <w:tc>
          <w:tcPr>
            <w:tcW w:type="dxa" w:w="3173"/>
            <w:shd w:val="clear" w:color="auto" w:fill="F2F5F9"/>
          </w:tcPr>
          <w:p>
            <w:pPr>
              <w:spacing w:after="40" w:line="276" w:lineRule="auto"/>
            </w:pPr>
            <w:r/>
            <w:r>
              <w:rPr>
                <w:rFonts w:ascii="Times New Roman" w:hAnsi="Times New Roman" w:eastAsia="宋体"/>
                <w:b w:val="0"/>
                <w:i w:val="0"/>
                <w:color w:val="1F2937"/>
                <w:sz w:val="19"/>
              </w:rPr>
              <w:t>提出结构和通路优先级</w:t>
            </w:r>
          </w:p>
        </w:tc>
        <w:tc>
          <w:tcPr>
            <w:tcW w:type="dxa" w:w="3173"/>
            <w:shd w:val="clear" w:color="auto" w:fill="F2F5F9"/>
          </w:tcPr>
          <w:p>
            <w:pPr>
              <w:spacing w:after="40" w:line="276" w:lineRule="auto"/>
            </w:pPr>
            <w:r/>
            <w:r>
              <w:rPr>
                <w:rFonts w:ascii="Times New Roman" w:hAnsi="Times New Roman" w:eastAsia="宋体"/>
                <w:b w:val="0"/>
                <w:i w:val="0"/>
                <w:color w:val="1F2937"/>
                <w:sz w:val="19"/>
              </w:rPr>
              <w:t>MD 证明 AD 病因</w:t>
            </w:r>
          </w:p>
        </w:tc>
      </w:tr>
      <w:tr>
        <w:tc>
          <w:tcPr>
            <w:tcW w:type="dxa" w:w="3173"/>
          </w:tcPr>
          <w:p>
            <w:pPr>
              <w:spacing w:after="40" w:line="276" w:lineRule="auto"/>
            </w:pPr>
            <w:r/>
            <w:r>
              <w:rPr>
                <w:rFonts w:ascii="Times New Roman" w:hAnsi="Times New Roman" w:eastAsia="宋体"/>
                <w:b w:val="0"/>
                <w:i w:val="0"/>
                <w:color w:val="1F2937"/>
                <w:sz w:val="19"/>
              </w:rPr>
              <w:t>干预验证完成</w:t>
            </w:r>
          </w:p>
        </w:tc>
        <w:tc>
          <w:tcPr>
            <w:tcW w:type="dxa" w:w="3173"/>
          </w:tcPr>
          <w:p>
            <w:pPr>
              <w:spacing w:after="40" w:line="276" w:lineRule="auto"/>
            </w:pPr>
            <w:r/>
            <w:r>
              <w:rPr>
                <w:rFonts w:ascii="Times New Roman" w:hAnsi="Times New Roman" w:eastAsia="宋体"/>
                <w:b w:val="0"/>
                <w:i w:val="0"/>
                <w:color w:val="1F2937"/>
                <w:sz w:val="19"/>
              </w:rPr>
              <w:t>支持风险或保护方向</w:t>
            </w:r>
          </w:p>
        </w:tc>
        <w:tc>
          <w:tcPr>
            <w:tcW w:type="dxa" w:w="3173"/>
          </w:tcPr>
          <w:p>
            <w:pPr>
              <w:spacing w:after="40" w:line="276" w:lineRule="auto"/>
            </w:pPr>
            <w:r/>
            <w:r>
              <w:rPr>
                <w:rFonts w:ascii="Times New Roman" w:hAnsi="Times New Roman" w:eastAsia="宋体"/>
                <w:b w:val="0"/>
                <w:i w:val="0"/>
                <w:color w:val="1F2937"/>
                <w:sz w:val="19"/>
              </w:rPr>
              <w:t>直接推广到所有 AD 患者</w:t>
            </w:r>
          </w:p>
        </w:tc>
      </w:tr>
    </w:tbl>
    <w:p>
      <w:pPr>
        <w:spacing w:after="40"/>
      </w:pPr>
    </w:p>
    <w:p>
      <w:pPr>
        <w:spacing w:before="0" w:after="120" w:line="336" w:lineRule="auto"/>
        <w:ind w:firstLine="440"/>
      </w:pPr>
      <w:r>
        <w:rPr>
          <w:rFonts w:ascii="Times New Roman" w:hAnsi="Times New Roman" w:eastAsia="宋体"/>
          <w:b w:val="0"/>
          <w:i w:val="0"/>
          <w:color w:val="1F2937"/>
          <w:sz w:val="22"/>
        </w:rPr>
        <w:t>当前仓库没有真实候选文件，因此文档中的候选机制卡片只保留字段和判定规则，不编造 AMP-C01 的序列、P 值、FDR、丰度或病理方向。实际结果到位后，应按候选逐条填入。</w:t>
      </w:r>
    </w:p>
    <w:p>
      <w:pPr>
        <w:spacing w:before="320" w:after="160" w:line="288" w:lineRule="auto"/>
      </w:pPr>
      <w:r>
        <w:rPr>
          <w:rFonts w:ascii="Times New Roman" w:hAnsi="Times New Roman" w:eastAsia="微软雅黑"/>
          <w:b/>
          <w:i w:val="0"/>
          <w:color w:val="10305A"/>
          <w:sz w:val="34"/>
        </w:rPr>
        <w:t>八、分子机制与阶段证据的整合解释</w:t>
      </w:r>
    </w:p>
    <w:p>
      <w:pPr>
        <w:spacing w:before="0" w:after="120" w:line="336" w:lineRule="auto"/>
        <w:ind w:firstLine="440"/>
      </w:pPr>
      <w:r>
        <w:rPr>
          <w:rFonts w:ascii="Times New Roman" w:hAnsi="Times New Roman" w:eastAsia="宋体"/>
          <w:b w:val="0"/>
          <w:i w:val="0"/>
          <w:color w:val="1F2937"/>
          <w:sz w:val="22"/>
        </w:rPr>
        <w:t>阶段层面回答“什么时候出现差异”，生态层面回答“可能影响了谁”，分子层面回答“可能怎么作用”，病理层面回答“是否与 Aβ/Tau、炎症和屏障方向一致”。四层必须逐层连接，不能从最后一层反推前面三层。</w:t>
      </w:r>
    </w:p>
    <w:p>
      <w:pPr>
        <w:spacing w:before="160" w:after="80" w:line="324" w:lineRule="auto"/>
      </w:pPr>
      <w:r>
        <w:rPr>
          <w:rFonts w:ascii="Times New Roman" w:hAnsi="Times New Roman" w:eastAsia="微软雅黑"/>
          <w:b/>
          <w:i w:val="0"/>
          <w:color w:val="10305A"/>
          <w:sz w:val="21"/>
        </w:rPr>
        <w:t>表 18　从阶段差异到病理机制的四层证据</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0305A"/>
          </w:tcPr>
          <w:p>
            <w:pPr>
              <w:jc w:val="center"/>
            </w:pPr>
            <w:r/>
            <w:r>
              <w:rPr>
                <w:rFonts w:ascii="Times New Roman" w:hAnsi="Times New Roman" w:eastAsia="微软雅黑"/>
                <w:b/>
                <w:i w:val="0"/>
                <w:color w:val="FFFFFF"/>
                <w:sz w:val="19"/>
              </w:rPr>
              <w:t>层</w:t>
            </w:r>
          </w:p>
        </w:tc>
        <w:tc>
          <w:tcPr>
            <w:tcW w:type="dxa" w:w="2379"/>
            <w:shd w:val="clear" w:color="auto" w:fill="10305A"/>
          </w:tcPr>
          <w:p>
            <w:pPr>
              <w:jc w:val="center"/>
            </w:pPr>
            <w:r/>
            <w:r>
              <w:rPr>
                <w:rFonts w:ascii="Times New Roman" w:hAnsi="Times New Roman" w:eastAsia="微软雅黑"/>
                <w:b/>
                <w:i w:val="0"/>
                <w:color w:val="FFFFFF"/>
                <w:sz w:val="19"/>
              </w:rPr>
              <w:t>核心问题</w:t>
            </w:r>
          </w:p>
        </w:tc>
        <w:tc>
          <w:tcPr>
            <w:tcW w:type="dxa" w:w="2379"/>
            <w:shd w:val="clear" w:color="auto" w:fill="10305A"/>
          </w:tcPr>
          <w:p>
            <w:pPr>
              <w:jc w:val="center"/>
            </w:pPr>
            <w:r/>
            <w:r>
              <w:rPr>
                <w:rFonts w:ascii="Times New Roman" w:hAnsi="Times New Roman" w:eastAsia="微软雅黑"/>
                <w:b/>
                <w:i w:val="0"/>
                <w:color w:val="FFFFFF"/>
                <w:sz w:val="19"/>
              </w:rPr>
              <w:t>数据/方法</w:t>
            </w:r>
          </w:p>
        </w:tc>
        <w:tc>
          <w:tcPr>
            <w:tcW w:type="dxa" w:w="2379"/>
            <w:shd w:val="clear" w:color="auto" w:fill="10305A"/>
          </w:tcPr>
          <w:p>
            <w:pPr>
              <w:jc w:val="center"/>
            </w:pPr>
            <w:r/>
            <w:r>
              <w:rPr>
                <w:rFonts w:ascii="Times New Roman" w:hAnsi="Times New Roman" w:eastAsia="微软雅黑"/>
                <w:b/>
                <w:i w:val="0"/>
                <w:color w:val="FFFFFF"/>
                <w:sz w:val="19"/>
              </w:rPr>
              <w:t>结论边界</w:t>
            </w:r>
          </w:p>
        </w:tc>
      </w:tr>
      <w:tr>
        <w:tc>
          <w:tcPr>
            <w:tcW w:type="dxa" w:w="2379"/>
          </w:tcPr>
          <w:p>
            <w:pPr>
              <w:spacing w:after="40" w:line="276" w:lineRule="auto"/>
            </w:pPr>
            <w:r/>
            <w:r>
              <w:rPr>
                <w:rFonts w:ascii="Times New Roman" w:hAnsi="Times New Roman" w:eastAsia="宋体"/>
                <w:b w:val="0"/>
                <w:i w:val="0"/>
                <w:color w:val="1F2937"/>
                <w:sz w:val="19"/>
              </w:rPr>
              <w:t>阶段</w:t>
            </w:r>
          </w:p>
        </w:tc>
        <w:tc>
          <w:tcPr>
            <w:tcW w:type="dxa" w:w="2379"/>
          </w:tcPr>
          <w:p>
            <w:pPr>
              <w:spacing w:after="40" w:line="276" w:lineRule="auto"/>
            </w:pPr>
            <w:r/>
            <w:r>
              <w:rPr>
                <w:rFonts w:ascii="Times New Roman" w:hAnsi="Times New Roman" w:eastAsia="宋体"/>
                <w:b w:val="0"/>
                <w:i w:val="0"/>
                <w:color w:val="1F2937"/>
                <w:sz w:val="19"/>
              </w:rPr>
              <w:t>哪一组、哪一阶段出现差异</w:t>
            </w:r>
          </w:p>
        </w:tc>
        <w:tc>
          <w:tcPr>
            <w:tcW w:type="dxa" w:w="2379"/>
          </w:tcPr>
          <w:p>
            <w:pPr>
              <w:spacing w:after="40" w:line="276" w:lineRule="auto"/>
            </w:pPr>
            <w:r/>
            <w:r>
              <w:rPr>
                <w:rFonts w:ascii="Times New Roman" w:hAnsi="Times New Roman" w:eastAsia="宋体"/>
                <w:b w:val="0"/>
                <w:i w:val="0"/>
                <w:color w:val="1F2937"/>
                <w:sz w:val="19"/>
              </w:rPr>
              <w:t>五阶段模型、协变量校正、趋势</w:t>
            </w:r>
          </w:p>
        </w:tc>
        <w:tc>
          <w:tcPr>
            <w:tcW w:type="dxa" w:w="2379"/>
          </w:tcPr>
          <w:p>
            <w:pPr>
              <w:spacing w:after="40" w:line="276" w:lineRule="auto"/>
            </w:pPr>
            <w:r/>
            <w:r>
              <w:rPr>
                <w:rFonts w:ascii="Times New Roman" w:hAnsi="Times New Roman" w:eastAsia="宋体"/>
                <w:b w:val="0"/>
                <w:i w:val="0"/>
                <w:color w:val="1F2937"/>
                <w:sz w:val="19"/>
              </w:rPr>
              <w:t>时间/状态关联</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生态</w:t>
            </w:r>
          </w:p>
        </w:tc>
        <w:tc>
          <w:tcPr>
            <w:tcW w:type="dxa" w:w="2379"/>
            <w:shd w:val="clear" w:color="auto" w:fill="F2F5F9"/>
          </w:tcPr>
          <w:p>
            <w:pPr>
              <w:spacing w:after="40" w:line="276" w:lineRule="auto"/>
            </w:pPr>
            <w:r/>
            <w:r>
              <w:rPr>
                <w:rFonts w:ascii="Times New Roman" w:hAnsi="Times New Roman" w:eastAsia="宋体"/>
                <w:b w:val="0"/>
                <w:i w:val="0"/>
                <w:color w:val="1F2937"/>
                <w:sz w:val="19"/>
              </w:rPr>
              <w:t>差异肽的来源菌和共现对象是谁</w:t>
            </w:r>
          </w:p>
        </w:tc>
        <w:tc>
          <w:tcPr>
            <w:tcW w:type="dxa" w:w="2379"/>
            <w:shd w:val="clear" w:color="auto" w:fill="F2F5F9"/>
          </w:tcPr>
          <w:p>
            <w:pPr>
              <w:spacing w:after="40" w:line="276" w:lineRule="auto"/>
            </w:pPr>
            <w:r/>
            <w:r>
              <w:rPr>
                <w:rFonts w:ascii="Times New Roman" w:hAnsi="Times New Roman" w:eastAsia="宋体"/>
                <w:b w:val="0"/>
                <w:i w:val="0"/>
                <w:color w:val="1F2937"/>
                <w:sz w:val="19"/>
              </w:rPr>
              <w:t>MAG、菌群网络、LPS/SCFA</w:t>
            </w:r>
          </w:p>
        </w:tc>
        <w:tc>
          <w:tcPr>
            <w:tcW w:type="dxa" w:w="2379"/>
            <w:shd w:val="clear" w:color="auto" w:fill="F2F5F9"/>
          </w:tcPr>
          <w:p>
            <w:pPr>
              <w:spacing w:after="40" w:line="276" w:lineRule="auto"/>
            </w:pPr>
            <w:r/>
            <w:r>
              <w:rPr>
                <w:rFonts w:ascii="Times New Roman" w:hAnsi="Times New Roman" w:eastAsia="宋体"/>
                <w:b w:val="0"/>
                <w:i w:val="0"/>
                <w:color w:val="1F2937"/>
                <w:sz w:val="19"/>
              </w:rPr>
              <w:t>生态候选路径</w:t>
            </w:r>
          </w:p>
        </w:tc>
      </w:tr>
      <w:tr>
        <w:tc>
          <w:tcPr>
            <w:tcW w:type="dxa" w:w="2379"/>
          </w:tcPr>
          <w:p>
            <w:pPr>
              <w:spacing w:after="40" w:line="276" w:lineRule="auto"/>
            </w:pPr>
            <w:r/>
            <w:r>
              <w:rPr>
                <w:rFonts w:ascii="Times New Roman" w:hAnsi="Times New Roman" w:eastAsia="宋体"/>
                <w:b w:val="0"/>
                <w:i w:val="0"/>
                <w:color w:val="1F2937"/>
                <w:sz w:val="19"/>
              </w:rPr>
              <w:t>分子</w:t>
            </w:r>
          </w:p>
        </w:tc>
        <w:tc>
          <w:tcPr>
            <w:tcW w:type="dxa" w:w="2379"/>
          </w:tcPr>
          <w:p>
            <w:pPr>
              <w:spacing w:after="40" w:line="276" w:lineRule="auto"/>
            </w:pPr>
            <w:r/>
            <w:r>
              <w:rPr>
                <w:rFonts w:ascii="Times New Roman" w:hAnsi="Times New Roman" w:eastAsia="宋体"/>
                <w:b w:val="0"/>
                <w:i w:val="0"/>
                <w:color w:val="1F2937"/>
                <w:sz w:val="19"/>
              </w:rPr>
              <w:t>它能否与膜、LPS、受体或 Aβ 相互作用</w:t>
            </w:r>
          </w:p>
        </w:tc>
        <w:tc>
          <w:tcPr>
            <w:tcW w:type="dxa" w:w="2379"/>
          </w:tcPr>
          <w:p>
            <w:pPr>
              <w:spacing w:after="40" w:line="276" w:lineRule="auto"/>
            </w:pPr>
            <w:r/>
            <w:r>
              <w:rPr>
                <w:rFonts w:ascii="Times New Roman" w:hAnsi="Times New Roman" w:eastAsia="宋体"/>
                <w:b w:val="0"/>
                <w:i w:val="0"/>
                <w:color w:val="1F2937"/>
                <w:sz w:val="19"/>
              </w:rPr>
              <w:t>MD、PMF、MM-PBSA、DFT</w:t>
            </w:r>
          </w:p>
        </w:tc>
        <w:tc>
          <w:tcPr>
            <w:tcW w:type="dxa" w:w="2379"/>
          </w:tcPr>
          <w:p>
            <w:pPr>
              <w:spacing w:after="40" w:line="276" w:lineRule="auto"/>
            </w:pPr>
            <w:r/>
            <w:r>
              <w:rPr>
                <w:rFonts w:ascii="Times New Roman" w:hAnsi="Times New Roman" w:eastAsia="宋体"/>
                <w:b w:val="0"/>
                <w:i w:val="0"/>
                <w:color w:val="1F2937"/>
                <w:sz w:val="19"/>
              </w:rPr>
              <w:t>结构机制线索</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病理</w:t>
            </w:r>
          </w:p>
        </w:tc>
        <w:tc>
          <w:tcPr>
            <w:tcW w:type="dxa" w:w="2379"/>
            <w:shd w:val="clear" w:color="auto" w:fill="F2F5F9"/>
          </w:tcPr>
          <w:p>
            <w:pPr>
              <w:spacing w:after="40" w:line="276" w:lineRule="auto"/>
            </w:pPr>
            <w:r/>
            <w:r>
              <w:rPr>
                <w:rFonts w:ascii="Times New Roman" w:hAnsi="Times New Roman" w:eastAsia="宋体"/>
                <w:b w:val="0"/>
                <w:i w:val="0"/>
                <w:color w:val="1F2937"/>
                <w:sz w:val="19"/>
              </w:rPr>
              <w:t>是否指向炎症、BBB、Aβ/Tau 或突触</w:t>
            </w:r>
          </w:p>
        </w:tc>
        <w:tc>
          <w:tcPr>
            <w:tcW w:type="dxa" w:w="2379"/>
            <w:shd w:val="clear" w:color="auto" w:fill="F2F5F9"/>
          </w:tcPr>
          <w:p>
            <w:pPr>
              <w:spacing w:after="40" w:line="276" w:lineRule="auto"/>
            </w:pPr>
            <w:r/>
            <w:r>
              <w:rPr>
                <w:rFonts w:ascii="Times New Roman" w:hAnsi="Times New Roman" w:eastAsia="宋体"/>
                <w:b w:val="0"/>
                <w:i w:val="0"/>
                <w:color w:val="1F2937"/>
                <w:sz w:val="19"/>
              </w:rPr>
              <w:t>中介、细胞/动物、干预</w:t>
            </w:r>
          </w:p>
        </w:tc>
        <w:tc>
          <w:tcPr>
            <w:tcW w:type="dxa" w:w="2379"/>
            <w:shd w:val="clear" w:color="auto" w:fill="F2F5F9"/>
          </w:tcPr>
          <w:p>
            <w:pPr>
              <w:spacing w:after="40" w:line="276" w:lineRule="auto"/>
            </w:pPr>
            <w:r/>
            <w:r>
              <w:rPr>
                <w:rFonts w:ascii="Times New Roman" w:hAnsi="Times New Roman" w:eastAsia="宋体"/>
                <w:b w:val="0"/>
                <w:i w:val="0"/>
                <w:color w:val="1F2937"/>
                <w:sz w:val="19"/>
              </w:rPr>
              <w:t>病理方向/因果强度</w:t>
            </w:r>
          </w:p>
        </w:tc>
      </w:tr>
    </w:tbl>
    <w:p>
      <w:pPr>
        <w:spacing w:after="40"/>
      </w:pPr>
    </w:p>
    <w:p>
      <w:pPr>
        <w:spacing w:before="0" w:after="120" w:line="336" w:lineRule="auto"/>
        <w:ind w:firstLine="440"/>
      </w:pPr>
      <w:r>
        <w:rPr>
          <w:rFonts w:ascii="Times New Roman" w:hAnsi="Times New Roman" w:eastAsia="宋体"/>
          <w:b w:val="0"/>
          <w:i w:val="0"/>
          <w:color w:val="1F2937"/>
          <w:sz w:val="22"/>
        </w:rPr>
        <w:t>因此，AChE-Aβ 模拟可以保留，但它要放在“高优先级候选的分子机制验证”章节；不能把它放在全文开头，让评委误以为你的研究目标是寻找 Aβ 抑制剂。</w:t>
      </w:r>
    </w:p>
    <w:p>
      <w:pPr>
        <w:spacing w:before="320" w:after="160" w:line="288" w:lineRule="auto"/>
      </w:pPr>
      <w:r>
        <w:rPr>
          <w:rFonts w:ascii="Times New Roman" w:hAnsi="Times New Roman" w:eastAsia="微软雅黑"/>
          <w:b/>
          <w:i w:val="0"/>
          <w:color w:val="10305A"/>
          <w:sz w:val="34"/>
        </w:rPr>
        <w:t>九、汇报口径和老师追问的回答</w:t>
      </w:r>
    </w:p>
    <w:p>
      <w:pPr>
        <w:spacing w:before="120" w:after="120" w:line="324" w:lineRule="auto"/>
        <w:jc w:val="center"/>
      </w:pPr>
      <w:r>
        <w:rPr>
          <w:rFonts w:ascii="Times New Roman" w:hAnsi="Times New Roman" w:eastAsia="Cambria"/>
          <w:b w:val="0"/>
          <w:i/>
          <w:color w:val="10305A"/>
          <w:sz w:val="22"/>
        </w:rPr>
        <w:t>我的研究首先筛选的是 AD 患者与健康人群肠道微生物组中有差异的微生物源抗菌肽。机制分析再把这些差异肽分为可能促进病理、可能保护或方向未知三类。Aβ 结合只是高优先级候选的一个分子读数，不能单独说明导致 AD；真正的主路径是微生物 AMP 通过菌群竞争、LPS/SCFA、肠屏障和炎症信号与 AD 病理建立关联。</w:t>
      </w:r>
    </w:p>
    <w:p>
      <w:pPr>
        <w:spacing w:before="160" w:after="80" w:line="324" w:lineRule="auto"/>
      </w:pPr>
      <w:r>
        <w:rPr>
          <w:rFonts w:ascii="Times New Roman" w:hAnsi="Times New Roman" w:eastAsia="微软雅黑"/>
          <w:b/>
          <w:i w:val="0"/>
          <w:color w:val="10305A"/>
          <w:sz w:val="21"/>
        </w:rPr>
        <w:t>表 19　答辩问答卡</w:t>
      </w:r>
    </w:p>
    <w:tbl>
      <w:tblPr>
        <w:tblStyle w:val="TableGrid"/>
        <w:tblW w:type="auto" w:w="0"/>
        <w:jc w:val="center"/>
        <w:tblLook w:firstColumn="1" w:firstRow="1" w:lastColumn="0" w:lastRow="0" w:noHBand="0" w:noVBand="1" w:val="04A0"/>
      </w:tblPr>
      <w:tblGrid>
        <w:gridCol w:w="4759"/>
        <w:gridCol w:w="4759"/>
      </w:tblGrid>
      <w:tr>
        <w:tc>
          <w:tcPr>
            <w:tcW w:type="dxa" w:w="4759"/>
            <w:shd w:val="clear" w:color="auto" w:fill="10305A"/>
          </w:tcPr>
          <w:p>
            <w:pPr>
              <w:jc w:val="center"/>
            </w:pPr>
            <w:r/>
            <w:r>
              <w:rPr>
                <w:rFonts w:ascii="Times New Roman" w:hAnsi="Times New Roman" w:eastAsia="微软雅黑"/>
                <w:b/>
                <w:i w:val="0"/>
                <w:color w:val="FFFFFF"/>
                <w:sz w:val="19"/>
              </w:rPr>
              <w:t>老师追问</w:t>
            </w:r>
          </w:p>
        </w:tc>
        <w:tc>
          <w:tcPr>
            <w:tcW w:type="dxa" w:w="4759"/>
            <w:shd w:val="clear" w:color="auto" w:fill="10305A"/>
          </w:tcPr>
          <w:p>
            <w:pPr>
              <w:jc w:val="center"/>
            </w:pPr>
            <w:r/>
            <w:r>
              <w:rPr>
                <w:rFonts w:ascii="Times New Roman" w:hAnsi="Times New Roman" w:eastAsia="微软雅黑"/>
                <w:b/>
                <w:i w:val="0"/>
                <w:color w:val="FFFFFF"/>
                <w:sz w:val="19"/>
              </w:rPr>
              <w:t>推荐回答</w:t>
            </w:r>
          </w:p>
        </w:tc>
      </w:tr>
      <w:tr>
        <w:tc>
          <w:tcPr>
            <w:tcW w:type="dxa" w:w="4759"/>
          </w:tcPr>
          <w:p>
            <w:pPr>
              <w:spacing w:after="40" w:line="276" w:lineRule="auto"/>
            </w:pPr>
            <w:r/>
            <w:r>
              <w:rPr>
                <w:rFonts w:ascii="Times New Roman" w:hAnsi="Times New Roman" w:eastAsia="宋体"/>
                <w:b w:val="0"/>
                <w:i w:val="0"/>
                <w:color w:val="1F2937"/>
                <w:sz w:val="19"/>
              </w:rPr>
              <w:t>你找的是致病肽还是抑制剂？</w:t>
            </w:r>
          </w:p>
        </w:tc>
        <w:tc>
          <w:tcPr>
            <w:tcW w:type="dxa" w:w="4759"/>
          </w:tcPr>
          <w:p>
            <w:pPr>
              <w:spacing w:after="40" w:line="276" w:lineRule="auto"/>
            </w:pPr>
            <w:r/>
            <w:r>
              <w:rPr>
                <w:rFonts w:ascii="Times New Roman" w:hAnsi="Times New Roman" w:eastAsia="宋体"/>
                <w:b w:val="0"/>
                <w:i w:val="0"/>
                <w:color w:val="1F2937"/>
                <w:sz w:val="19"/>
              </w:rPr>
              <w:t>首先找 AD 相关差异微生物源 AMP；致病样和保护/抑制样是后续方向性分类。</w:t>
            </w:r>
          </w:p>
        </w:tc>
      </w:tr>
      <w:tr>
        <w:tc>
          <w:tcPr>
            <w:tcW w:type="dxa" w:w="4759"/>
            <w:shd w:val="clear" w:color="auto" w:fill="F2F5F9"/>
          </w:tcPr>
          <w:p>
            <w:pPr>
              <w:spacing w:after="40" w:line="276" w:lineRule="auto"/>
            </w:pPr>
            <w:r/>
            <w:r>
              <w:rPr>
                <w:rFonts w:ascii="Times New Roman" w:hAnsi="Times New Roman" w:eastAsia="宋体"/>
                <w:b w:val="0"/>
                <w:i w:val="0"/>
                <w:color w:val="1F2937"/>
                <w:sz w:val="19"/>
              </w:rPr>
              <w:t>Aβ 结合能证明什么？</w:t>
            </w:r>
          </w:p>
        </w:tc>
        <w:tc>
          <w:tcPr>
            <w:tcW w:type="dxa" w:w="4759"/>
            <w:shd w:val="clear" w:color="auto" w:fill="F2F5F9"/>
          </w:tcPr>
          <w:p>
            <w:pPr>
              <w:spacing w:after="40" w:line="276" w:lineRule="auto"/>
            </w:pPr>
            <w:r/>
            <w:r>
              <w:rPr>
                <w:rFonts w:ascii="Times New Roman" w:hAnsi="Times New Roman" w:eastAsia="宋体"/>
                <w:b w:val="0"/>
                <w:i w:val="0"/>
                <w:color w:val="1F2937"/>
                <w:sz w:val="19"/>
              </w:rPr>
              <w:t>证明一种可能的分子相互作用，必须继续判断聚集方向、炎症、膜损伤和暴露。</w:t>
            </w:r>
          </w:p>
        </w:tc>
      </w:tr>
      <w:tr>
        <w:tc>
          <w:tcPr>
            <w:tcW w:type="dxa" w:w="4759"/>
          </w:tcPr>
          <w:p>
            <w:pPr>
              <w:spacing w:after="40" w:line="276" w:lineRule="auto"/>
            </w:pPr>
            <w:r/>
            <w:r>
              <w:rPr>
                <w:rFonts w:ascii="Times New Roman" w:hAnsi="Times New Roman" w:eastAsia="宋体"/>
                <w:b w:val="0"/>
                <w:i w:val="0"/>
                <w:color w:val="1F2937"/>
                <w:sz w:val="19"/>
              </w:rPr>
              <w:t>为什么做 AChE-PAS？</w:t>
            </w:r>
          </w:p>
        </w:tc>
        <w:tc>
          <w:tcPr>
            <w:tcW w:type="dxa" w:w="4759"/>
          </w:tcPr>
          <w:p>
            <w:pPr>
              <w:spacing w:after="40" w:line="276" w:lineRule="auto"/>
            </w:pPr>
            <w:r/>
            <w:r>
              <w:rPr>
                <w:rFonts w:ascii="Times New Roman" w:hAnsi="Times New Roman" w:eastAsia="宋体"/>
                <w:b w:val="0"/>
                <w:i w:val="0"/>
                <w:color w:val="1F2937"/>
                <w:sz w:val="19"/>
              </w:rPr>
              <w:t>借鉴已有 AChE-Aβ MD 的界面解析方法，为候选肽竞争或调节提出可检验假设。</w:t>
            </w:r>
          </w:p>
        </w:tc>
      </w:tr>
      <w:tr>
        <w:tc>
          <w:tcPr>
            <w:tcW w:type="dxa" w:w="4759"/>
            <w:shd w:val="clear" w:color="auto" w:fill="F2F5F9"/>
          </w:tcPr>
          <w:p>
            <w:pPr>
              <w:spacing w:after="40" w:line="276" w:lineRule="auto"/>
            </w:pPr>
            <w:r/>
            <w:r>
              <w:rPr>
                <w:rFonts w:ascii="Times New Roman" w:hAnsi="Times New Roman" w:eastAsia="宋体"/>
                <w:b w:val="0"/>
                <w:i w:val="0"/>
                <w:color w:val="1F2937"/>
                <w:sz w:val="19"/>
              </w:rPr>
              <w:t>微生物 AMP 会进入脑吗？</w:t>
            </w:r>
          </w:p>
        </w:tc>
        <w:tc>
          <w:tcPr>
            <w:tcW w:type="dxa" w:w="4759"/>
            <w:shd w:val="clear" w:color="auto" w:fill="F2F5F9"/>
          </w:tcPr>
          <w:p>
            <w:pPr>
              <w:spacing w:after="40" w:line="276" w:lineRule="auto"/>
            </w:pPr>
            <w:r/>
            <w:r>
              <w:rPr>
                <w:rFonts w:ascii="Times New Roman" w:hAnsi="Times New Roman" w:eastAsia="宋体"/>
                <w:b w:val="0"/>
                <w:i w:val="0"/>
                <w:color w:val="1F2937"/>
                <w:sz w:val="19"/>
              </w:rPr>
              <w:t>目前不能默认；先做生态/炎症主路径，直接入脑只对有暴露证据的候选做条件性验证。</w:t>
            </w:r>
          </w:p>
        </w:tc>
      </w:tr>
      <w:tr>
        <w:tc>
          <w:tcPr>
            <w:tcW w:type="dxa" w:w="4759"/>
          </w:tcPr>
          <w:p>
            <w:pPr>
              <w:spacing w:after="40" w:line="276" w:lineRule="auto"/>
            </w:pPr>
            <w:r/>
            <w:r>
              <w:rPr>
                <w:rFonts w:ascii="Times New Roman" w:hAnsi="Times New Roman" w:eastAsia="宋体"/>
                <w:b w:val="0"/>
                <w:i w:val="0"/>
                <w:color w:val="1F2937"/>
                <w:sz w:val="19"/>
              </w:rPr>
              <w:t>为什么 AD 组更多？</w:t>
            </w:r>
          </w:p>
        </w:tc>
        <w:tc>
          <w:tcPr>
            <w:tcW w:type="dxa" w:w="4759"/>
          </w:tcPr>
          <w:p>
            <w:pPr>
              <w:spacing w:after="40" w:line="276" w:lineRule="auto"/>
            </w:pPr>
            <w:r/>
            <w:r>
              <w:rPr>
                <w:rFonts w:ascii="Times New Roman" w:hAnsi="Times New Roman" w:eastAsia="宋体"/>
                <w:b w:val="0"/>
                <w:i w:val="0"/>
                <w:color w:val="1F2937"/>
                <w:sz w:val="19"/>
              </w:rPr>
              <w:t>部分宿主 AMP/总抗菌活性文献方向偏高，但不是所有 AMP 都高；微生物源 AMP 方向由本课题结果决定。</w:t>
            </w:r>
          </w:p>
        </w:tc>
      </w:tr>
      <w:tr>
        <w:tc>
          <w:tcPr>
            <w:tcW w:type="dxa" w:w="4759"/>
            <w:shd w:val="clear" w:color="auto" w:fill="F2F5F9"/>
          </w:tcPr>
          <w:p>
            <w:pPr>
              <w:spacing w:after="40" w:line="276" w:lineRule="auto"/>
            </w:pPr>
            <w:r/>
            <w:r>
              <w:rPr>
                <w:rFonts w:ascii="Times New Roman" w:hAnsi="Times New Roman" w:eastAsia="宋体"/>
                <w:b w:val="0"/>
                <w:i w:val="0"/>
                <w:color w:val="1F2937"/>
                <w:sz w:val="19"/>
              </w:rPr>
              <w:t>为什么不全部合成验证？</w:t>
            </w:r>
          </w:p>
        </w:tc>
        <w:tc>
          <w:tcPr>
            <w:tcW w:type="dxa" w:w="4759"/>
            <w:shd w:val="clear" w:color="auto" w:fill="F2F5F9"/>
          </w:tcPr>
          <w:p>
            <w:pPr>
              <w:spacing w:after="40" w:line="276" w:lineRule="auto"/>
            </w:pPr>
            <w:r/>
            <w:r>
              <w:rPr>
                <w:rFonts w:ascii="Times New Roman" w:hAnsi="Times New Roman" w:eastAsia="宋体"/>
                <w:b w:val="0"/>
                <w:i w:val="0"/>
                <w:color w:val="1F2937"/>
                <w:sz w:val="19"/>
              </w:rPr>
              <w:t>先计算筛选和表达去重，再按风险样/保护样/未知方向选择代表性候选降低成本。</w:t>
            </w:r>
          </w:p>
        </w:tc>
      </w:tr>
      <w:tr>
        <w:tc>
          <w:tcPr>
            <w:tcW w:type="dxa" w:w="4759"/>
          </w:tcPr>
          <w:p>
            <w:pPr>
              <w:spacing w:after="40" w:line="276" w:lineRule="auto"/>
            </w:pPr>
            <w:r/>
            <w:r>
              <w:rPr>
                <w:rFonts w:ascii="Times New Roman" w:hAnsi="Times New Roman" w:eastAsia="宋体"/>
                <w:b w:val="0"/>
                <w:i w:val="0"/>
                <w:color w:val="1F2937"/>
                <w:sz w:val="19"/>
              </w:rPr>
              <w:t>能不能说导致 AD？</w:t>
            </w:r>
          </w:p>
        </w:tc>
        <w:tc>
          <w:tcPr>
            <w:tcW w:type="dxa" w:w="4759"/>
          </w:tcPr>
          <w:p>
            <w:pPr>
              <w:spacing w:after="40" w:line="276" w:lineRule="auto"/>
            </w:pPr>
            <w:r/>
            <w:r>
              <w:rPr>
                <w:rFonts w:ascii="Times New Roman" w:hAnsi="Times New Roman" w:eastAsia="宋体"/>
                <w:b w:val="0"/>
                <w:i w:val="0"/>
                <w:color w:val="1F2937"/>
                <w:sz w:val="19"/>
              </w:rPr>
              <w:t>在横断面和计算证据阶段只能说 AD-associated candidate；因果需要加入、去除、阻断或动物验证。</w:t>
            </w:r>
          </w:p>
        </w:tc>
      </w:tr>
    </w:tbl>
    <w:p>
      <w:pPr>
        <w:spacing w:after="40"/>
      </w:pPr>
    </w:p>
    <w:p>
      <w:pPr>
        <w:spacing w:before="320" w:after="160" w:line="288" w:lineRule="auto"/>
      </w:pPr>
      <w:r>
        <w:rPr>
          <w:rFonts w:ascii="Times New Roman" w:hAnsi="Times New Roman" w:eastAsia="微软雅黑"/>
          <w:b/>
          <w:i w:val="0"/>
          <w:color w:val="10305A"/>
          <w:sz w:val="34"/>
        </w:rPr>
        <w:t>十、最终研究闭环与验证计划</w:t>
      </w:r>
    </w:p>
    <w:p>
      <w:pPr>
        <w:spacing w:before="0" w:after="120" w:line="336" w:lineRule="auto"/>
        <w:ind w:firstLine="440"/>
      </w:pPr>
      <w:r>
        <w:rPr>
          <w:rFonts w:ascii="Times New Roman" w:hAnsi="Times New Roman" w:eastAsia="宋体"/>
          <w:b w:val="0"/>
          <w:i w:val="0"/>
          <w:color w:val="1F2937"/>
          <w:sz w:val="22"/>
        </w:rPr>
        <w:t>最终闭环是：476 样本与认知阶段设计 → 宏基因组组装和 ORF → 微生物源短肽库 → 深度学习 AMP 共识 → AD/健康和阶段差异 → 表达证据二次去重 → 来源菌和生态网络 → LPS/SCFA/屏障/炎症中介 → 优先候选膜/受体/Aβ/BBB 计算 → 代表性风险样和保护样实验验证 → 只对干预结果讨论因果。</w:t>
      </w:r>
    </w:p>
    <w:p>
      <w:pPr>
        <w:spacing w:before="160" w:after="80" w:line="324" w:lineRule="auto"/>
      </w:pPr>
      <w:r>
        <w:rPr>
          <w:rFonts w:ascii="Times New Roman" w:hAnsi="Times New Roman" w:eastAsia="微软雅黑"/>
          <w:b/>
          <w:i w:val="0"/>
          <w:color w:val="10305A"/>
          <w:sz w:val="21"/>
        </w:rPr>
        <w:t>表 20　从计算关联走向因果还需要什么</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10305A"/>
          </w:tcPr>
          <w:p>
            <w:pPr>
              <w:jc w:val="center"/>
            </w:pPr>
            <w:r/>
            <w:r>
              <w:rPr>
                <w:rFonts w:ascii="Times New Roman" w:hAnsi="Times New Roman" w:eastAsia="微软雅黑"/>
                <w:b/>
                <w:i w:val="0"/>
                <w:color w:val="FFFFFF"/>
                <w:sz w:val="19"/>
              </w:rPr>
              <w:t>计算可以提供</w:t>
            </w:r>
          </w:p>
        </w:tc>
        <w:tc>
          <w:tcPr>
            <w:tcW w:type="dxa" w:w="3173"/>
            <w:shd w:val="clear" w:color="auto" w:fill="10305A"/>
          </w:tcPr>
          <w:p>
            <w:pPr>
              <w:jc w:val="center"/>
            </w:pPr>
            <w:r/>
            <w:r>
              <w:rPr>
                <w:rFonts w:ascii="Times New Roman" w:hAnsi="Times New Roman" w:eastAsia="微软雅黑"/>
                <w:b/>
                <w:i w:val="0"/>
                <w:color w:val="FFFFFF"/>
                <w:sz w:val="19"/>
              </w:rPr>
              <w:t>仍需补的证据</w:t>
            </w:r>
          </w:p>
        </w:tc>
        <w:tc>
          <w:tcPr>
            <w:tcW w:type="dxa" w:w="3173"/>
            <w:shd w:val="clear" w:color="auto" w:fill="10305A"/>
          </w:tcPr>
          <w:p>
            <w:pPr>
              <w:jc w:val="center"/>
            </w:pPr>
            <w:r/>
            <w:r>
              <w:rPr>
                <w:rFonts w:ascii="Times New Roman" w:hAnsi="Times New Roman" w:eastAsia="微软雅黑"/>
                <w:b/>
                <w:i w:val="0"/>
                <w:color w:val="FFFFFF"/>
                <w:sz w:val="19"/>
              </w:rPr>
              <w:t>验证方式</w:t>
            </w:r>
          </w:p>
        </w:tc>
      </w:tr>
      <w:tr>
        <w:tc>
          <w:tcPr>
            <w:tcW w:type="dxa" w:w="3173"/>
          </w:tcPr>
          <w:p>
            <w:pPr>
              <w:spacing w:after="40" w:line="276" w:lineRule="auto"/>
            </w:pPr>
            <w:r/>
            <w:r>
              <w:rPr>
                <w:rFonts w:ascii="Times New Roman" w:hAnsi="Times New Roman" w:eastAsia="宋体"/>
                <w:b w:val="0"/>
                <w:i w:val="0"/>
                <w:color w:val="1F2937"/>
                <w:sz w:val="19"/>
              </w:rPr>
              <w:t>候选身份与差异</w:t>
            </w:r>
          </w:p>
        </w:tc>
        <w:tc>
          <w:tcPr>
            <w:tcW w:type="dxa" w:w="3173"/>
          </w:tcPr>
          <w:p>
            <w:pPr>
              <w:spacing w:after="40" w:line="276" w:lineRule="auto"/>
            </w:pPr>
            <w:r/>
            <w:r>
              <w:rPr>
                <w:rFonts w:ascii="Times New Roman" w:hAnsi="Times New Roman" w:eastAsia="宋体"/>
                <w:b w:val="0"/>
                <w:i w:val="0"/>
                <w:color w:val="1F2937"/>
                <w:sz w:val="19"/>
              </w:rPr>
              <w:t>真实表达和加工后的肽浓度</w:t>
            </w:r>
          </w:p>
        </w:tc>
        <w:tc>
          <w:tcPr>
            <w:tcW w:type="dxa" w:w="3173"/>
          </w:tcPr>
          <w:p>
            <w:pPr>
              <w:spacing w:after="40" w:line="276" w:lineRule="auto"/>
            </w:pPr>
            <w:r/>
            <w:r>
              <w:rPr>
                <w:rFonts w:ascii="Times New Roman" w:hAnsi="Times New Roman" w:eastAsia="宋体"/>
                <w:b w:val="0"/>
                <w:i w:val="0"/>
                <w:color w:val="1F2937"/>
                <w:sz w:val="19"/>
              </w:rPr>
              <w:t>宏蛋白组、肽组学、靶向定量</w:t>
            </w:r>
          </w:p>
        </w:tc>
      </w:tr>
      <w:tr>
        <w:tc>
          <w:tcPr>
            <w:tcW w:type="dxa" w:w="3173"/>
            <w:shd w:val="clear" w:color="auto" w:fill="F2F5F9"/>
          </w:tcPr>
          <w:p>
            <w:pPr>
              <w:spacing w:after="40" w:line="276" w:lineRule="auto"/>
            </w:pPr>
            <w:r/>
            <w:r>
              <w:rPr>
                <w:rFonts w:ascii="Times New Roman" w:hAnsi="Times New Roman" w:eastAsia="宋体"/>
                <w:b w:val="0"/>
                <w:i w:val="0"/>
                <w:color w:val="1F2937"/>
                <w:sz w:val="19"/>
              </w:rPr>
              <w:t>来源菌与生态关联</w:t>
            </w:r>
          </w:p>
        </w:tc>
        <w:tc>
          <w:tcPr>
            <w:tcW w:type="dxa" w:w="3173"/>
            <w:shd w:val="clear" w:color="auto" w:fill="F2F5F9"/>
          </w:tcPr>
          <w:p>
            <w:pPr>
              <w:spacing w:after="40" w:line="276" w:lineRule="auto"/>
            </w:pPr>
            <w:r/>
            <w:r>
              <w:rPr>
                <w:rFonts w:ascii="Times New Roman" w:hAnsi="Times New Roman" w:eastAsia="宋体"/>
                <w:b w:val="0"/>
                <w:i w:val="0"/>
                <w:color w:val="1F2937"/>
                <w:sz w:val="19"/>
              </w:rPr>
              <w:t>活菌环境中的选择效应</w:t>
            </w:r>
          </w:p>
        </w:tc>
        <w:tc>
          <w:tcPr>
            <w:tcW w:type="dxa" w:w="3173"/>
            <w:shd w:val="clear" w:color="auto" w:fill="F2F5F9"/>
          </w:tcPr>
          <w:p>
            <w:pPr>
              <w:spacing w:after="40" w:line="276" w:lineRule="auto"/>
            </w:pPr>
            <w:r/>
            <w:r>
              <w:rPr>
                <w:rFonts w:ascii="Times New Roman" w:hAnsi="Times New Roman" w:eastAsia="宋体"/>
                <w:b w:val="0"/>
                <w:i w:val="0"/>
                <w:color w:val="1F2937"/>
                <w:sz w:val="19"/>
              </w:rPr>
              <w:t>共培养、菌群模拟、动物或 FMT</w:t>
            </w:r>
          </w:p>
        </w:tc>
      </w:tr>
      <w:tr>
        <w:tc>
          <w:tcPr>
            <w:tcW w:type="dxa" w:w="3173"/>
          </w:tcPr>
          <w:p>
            <w:pPr>
              <w:spacing w:after="40" w:line="276" w:lineRule="auto"/>
            </w:pPr>
            <w:r/>
            <w:r>
              <w:rPr>
                <w:rFonts w:ascii="Times New Roman" w:hAnsi="Times New Roman" w:eastAsia="宋体"/>
                <w:b w:val="0"/>
                <w:i w:val="0"/>
                <w:color w:val="1F2937"/>
                <w:sz w:val="19"/>
              </w:rPr>
              <w:t>LPS/受体结构线索</w:t>
            </w:r>
          </w:p>
        </w:tc>
        <w:tc>
          <w:tcPr>
            <w:tcW w:type="dxa" w:w="3173"/>
          </w:tcPr>
          <w:p>
            <w:pPr>
              <w:spacing w:after="40" w:line="276" w:lineRule="auto"/>
            </w:pPr>
            <w:r/>
            <w:r>
              <w:rPr>
                <w:rFonts w:ascii="Times New Roman" w:hAnsi="Times New Roman" w:eastAsia="宋体"/>
                <w:b w:val="0"/>
                <w:i w:val="0"/>
                <w:color w:val="1F2937"/>
                <w:sz w:val="19"/>
              </w:rPr>
              <w:t>细胞信号和炎症方向</w:t>
            </w:r>
          </w:p>
        </w:tc>
        <w:tc>
          <w:tcPr>
            <w:tcW w:type="dxa" w:w="3173"/>
          </w:tcPr>
          <w:p>
            <w:pPr>
              <w:spacing w:after="40" w:line="276" w:lineRule="auto"/>
            </w:pPr>
            <w:r/>
            <w:r>
              <w:rPr>
                <w:rFonts w:ascii="Times New Roman" w:hAnsi="Times New Roman" w:eastAsia="宋体"/>
                <w:b w:val="0"/>
                <w:i w:val="0"/>
                <w:color w:val="1F2937"/>
                <w:sz w:val="19"/>
              </w:rPr>
              <w:t>受体阻断、微胶质/肠上皮细胞</w:t>
            </w:r>
          </w:p>
        </w:tc>
      </w:tr>
      <w:tr>
        <w:tc>
          <w:tcPr>
            <w:tcW w:type="dxa" w:w="3173"/>
            <w:shd w:val="clear" w:color="auto" w:fill="F2F5F9"/>
          </w:tcPr>
          <w:p>
            <w:pPr>
              <w:spacing w:after="40" w:line="276" w:lineRule="auto"/>
            </w:pPr>
            <w:r/>
            <w:r>
              <w:rPr>
                <w:rFonts w:ascii="Times New Roman" w:hAnsi="Times New Roman" w:eastAsia="宋体"/>
                <w:b w:val="0"/>
                <w:i w:val="0"/>
                <w:color w:val="1F2937"/>
                <w:sz w:val="19"/>
              </w:rPr>
              <w:t>Aβ/BBB 计算方向</w:t>
            </w:r>
          </w:p>
        </w:tc>
        <w:tc>
          <w:tcPr>
            <w:tcW w:type="dxa" w:w="3173"/>
            <w:shd w:val="clear" w:color="auto" w:fill="F2F5F9"/>
          </w:tcPr>
          <w:p>
            <w:pPr>
              <w:spacing w:after="40" w:line="276" w:lineRule="auto"/>
            </w:pPr>
            <w:r/>
            <w:r>
              <w:rPr>
                <w:rFonts w:ascii="Times New Roman" w:hAnsi="Times New Roman" w:eastAsia="宋体"/>
                <w:b w:val="0"/>
                <w:i w:val="0"/>
                <w:color w:val="1F2937"/>
                <w:sz w:val="19"/>
              </w:rPr>
              <w:t>体内暴露和病理表型</w:t>
            </w:r>
          </w:p>
        </w:tc>
        <w:tc>
          <w:tcPr>
            <w:tcW w:type="dxa" w:w="3173"/>
            <w:shd w:val="clear" w:color="auto" w:fill="F2F5F9"/>
          </w:tcPr>
          <w:p>
            <w:pPr>
              <w:spacing w:after="40" w:line="276" w:lineRule="auto"/>
            </w:pPr>
            <w:r/>
            <w:r>
              <w:rPr>
                <w:rFonts w:ascii="Times New Roman" w:hAnsi="Times New Roman" w:eastAsia="宋体"/>
                <w:b w:val="0"/>
                <w:i w:val="0"/>
                <w:color w:val="1F2937"/>
                <w:sz w:val="19"/>
              </w:rPr>
              <w:t>血液/CSF/脑组织及 BBB 模型</w:t>
            </w:r>
          </w:p>
        </w:tc>
      </w:tr>
      <w:tr>
        <w:tc>
          <w:tcPr>
            <w:tcW w:type="dxa" w:w="3173"/>
          </w:tcPr>
          <w:p>
            <w:pPr>
              <w:spacing w:after="40" w:line="276" w:lineRule="auto"/>
            </w:pPr>
            <w:r/>
            <w:r>
              <w:rPr>
                <w:rFonts w:ascii="Times New Roman" w:hAnsi="Times New Roman" w:eastAsia="宋体"/>
                <w:b w:val="0"/>
                <w:i w:val="0"/>
                <w:color w:val="1F2937"/>
                <w:sz w:val="19"/>
              </w:rPr>
              <w:t>风险/保护标签</w:t>
            </w:r>
          </w:p>
        </w:tc>
        <w:tc>
          <w:tcPr>
            <w:tcW w:type="dxa" w:w="3173"/>
          </w:tcPr>
          <w:p>
            <w:pPr>
              <w:spacing w:after="40" w:line="276" w:lineRule="auto"/>
            </w:pPr>
            <w:r/>
            <w:r>
              <w:rPr>
                <w:rFonts w:ascii="Times New Roman" w:hAnsi="Times New Roman" w:eastAsia="宋体"/>
                <w:b w:val="0"/>
                <w:i w:val="0"/>
                <w:color w:val="1F2937"/>
                <w:sz w:val="19"/>
              </w:rPr>
              <w:t>干预后表型逆转</w:t>
            </w:r>
          </w:p>
        </w:tc>
        <w:tc>
          <w:tcPr>
            <w:tcW w:type="dxa" w:w="3173"/>
          </w:tcPr>
          <w:p>
            <w:pPr>
              <w:spacing w:after="40" w:line="276" w:lineRule="auto"/>
            </w:pPr>
            <w:r/>
            <w:r>
              <w:rPr>
                <w:rFonts w:ascii="Times New Roman" w:hAnsi="Times New Roman" w:eastAsia="宋体"/>
                <w:b w:val="0"/>
                <w:i w:val="0"/>
                <w:color w:val="1F2937"/>
                <w:sz w:val="19"/>
              </w:rPr>
              <w:t>加入、去除、敲低或中和候选肽</w:t>
            </w:r>
          </w:p>
        </w:tc>
      </w:tr>
    </w:tbl>
    <w:p>
      <w:pPr>
        <w:spacing w:after="40"/>
      </w:pPr>
    </w:p>
    <w:p>
      <w:pPr>
        <w:spacing w:before="0" w:after="120" w:line="336" w:lineRule="auto"/>
        <w:ind w:firstLine="440"/>
      </w:pPr>
      <w:r>
        <w:rPr>
          <w:rFonts w:ascii="Times New Roman" w:hAnsi="Times New Roman" w:eastAsia="宋体"/>
          <w:b w:val="0"/>
          <w:i w:val="0"/>
          <w:color w:val="1F2937"/>
          <w:sz w:val="22"/>
        </w:rPr>
        <w:t>最终结论建议写成：本研究筛选并优先排序与 AD 状态或病程相关的微生物源抗菌肽候选，提出其通过肠道生态、屏障和炎症通路参与 AD 相关过程的可检验机制；部分候选可能具有风险样方向，部分可能具有保护/抑制潜力，具体方向和因果关系仍需表达、功能和干预验证。</w:t>
      </w:r>
    </w:p>
    <w:p>
      <w:pPr>
        <w:spacing w:before="40" w:after="120" w:line="324" w:lineRule="auto"/>
        <w:ind w:firstLine="200"/>
      </w:pPr>
      <w:r>
        <w:rPr>
          <w:rFonts w:ascii="Times New Roman" w:hAnsi="Times New Roman" w:eastAsia="楷体"/>
          <w:b w:val="0"/>
          <w:i/>
          <w:color w:val="555555"/>
          <w:sz w:val="20"/>
        </w:rPr>
        <w:t>▶ 不要写“筛选出导致 AD 的抗菌肽”，除非已经完成明确的去除/加入/阻断实验并且有独立验证。</w:t>
      </w:r>
    </w:p>
    <w:p>
      <w:pPr>
        <w:spacing w:before="320" w:after="160" w:line="288" w:lineRule="auto"/>
      </w:pPr>
      <w:r>
        <w:rPr>
          <w:rFonts w:ascii="Times New Roman" w:hAnsi="Times New Roman" w:eastAsia="微软雅黑"/>
          <w:b/>
          <w:i w:val="0"/>
          <w:color w:val="10305A"/>
          <w:sz w:val="34"/>
        </w:rPr>
        <w:t>附录：文献使用说明</w:t>
      </w:r>
    </w:p>
    <w:p>
      <w:pPr>
        <w:spacing w:before="0" w:after="120" w:line="336" w:lineRule="auto"/>
        <w:ind w:firstLine="440"/>
      </w:pPr>
      <w:r>
        <w:rPr>
          <w:rFonts w:ascii="Times New Roman" w:hAnsi="Times New Roman" w:eastAsia="宋体"/>
          <w:b w:val="0"/>
          <w:i w:val="0"/>
          <w:color w:val="1F2937"/>
          <w:sz w:val="22"/>
        </w:rPr>
        <w:t>本版将用户补充材料中的 46 条文献线索与已有 AMP、肠道菌群、深度学习、MD/QM 和 BBB 文献库合并。正文引用按首次出现顺序自动编号；其中 2025—2026 年条目、预印本或用户提供的检索记录，提交论文前应再次核对 DOI、卷页、样本数和原文图表。数值型结论均应回到原文，不把补充材料中的汇总数字当作本课题结果。</w:t>
      </w:r>
    </w:p>
    <w:p>
      <w:r>
        <w:br w:type="page"/>
      </w:r>
    </w:p>
    <w:p>
      <w:pPr>
        <w:spacing w:before="0" w:after="160" w:line="324" w:lineRule="auto"/>
      </w:pPr>
      <w:r>
        <w:rPr>
          <w:rFonts w:ascii="Times New Roman" w:hAnsi="Times New Roman" w:eastAsia="微软雅黑"/>
          <w:b/>
          <w:i w:val="0"/>
          <w:color w:val="10305A"/>
          <w:sz w:val="34"/>
        </w:rPr>
        <w:t>参考文献</w:t>
      </w:r>
    </w:p>
    <w:p>
      <w:pPr>
        <w:spacing w:before="0" w:after="160" w:line="324" w:lineRule="auto"/>
      </w:pPr>
      <w:r>
        <w:rPr>
          <w:rFonts w:ascii="Times New Roman" w:hAnsi="Times New Roman" w:eastAsia="楷体"/>
          <w:b w:val="0"/>
          <w:i/>
          <w:color w:val="555555"/>
          <w:sz w:val="20"/>
        </w:rPr>
        <w:t>（编号与正文方括号一致；带 DOI/PMID/PMC 的条目可直接检索核验原文。本次共引用 73 条。）</w:t>
      </w:r>
    </w:p>
    <w:p>
      <w:pPr>
        <w:spacing w:after="60" w:line="300" w:lineRule="auto"/>
        <w:ind w:left="510" w:hanging="510"/>
      </w:pPr>
      <w:r>
        <w:rPr>
          <w:rFonts w:ascii="Times New Roman" w:hAnsi="Times New Roman" w:eastAsia="宋体"/>
          <w:b/>
          <w:i w:val="0"/>
          <w:color w:val="10305A"/>
          <w:sz w:val="19"/>
        </w:rPr>
        <w:t xml:space="preserve">[1] </w:t>
      </w:r>
      <w:r>
        <w:rPr>
          <w:rFonts w:ascii="Times New Roman" w:hAnsi="Times New Roman" w:eastAsia="宋体"/>
          <w:b w:val="0"/>
          <w:i w:val="0"/>
          <w:color w:val="1F2937"/>
          <w:sz w:val="19"/>
        </w:rPr>
        <w:t>Ma Y, Guo Z, Xia B, et al. Identification of antimicrobial peptides from the human gut microbiome using deep learning. Nature Biotechnology. 2022;40(6):921-931. DOI: 10.1038/s41587-022-01226-0; PMID: 35241840.</w:t>
      </w:r>
    </w:p>
    <w:p>
      <w:pPr>
        <w:spacing w:after="60" w:line="300" w:lineRule="auto"/>
        <w:ind w:left="510" w:hanging="510"/>
      </w:pPr>
      <w:r>
        <w:rPr>
          <w:rFonts w:ascii="Times New Roman" w:hAnsi="Times New Roman" w:eastAsia="宋体"/>
          <w:b/>
          <w:i w:val="0"/>
          <w:color w:val="10305A"/>
          <w:sz w:val="19"/>
        </w:rPr>
        <w:t xml:space="preserve">[2] </w:t>
      </w:r>
      <w:r>
        <w:rPr>
          <w:rFonts w:ascii="Times New Roman" w:hAnsi="Times New Roman" w:eastAsia="宋体"/>
          <w:b w:val="0"/>
          <w:i w:val="0"/>
          <w:color w:val="1F2937"/>
          <w:sz w:val="19"/>
        </w:rPr>
        <w:t>Cryan JF, O'Riordan KJ, Cowan CSM, et al. The microbiota-gut-brain axis. Physiol Rev. 2019;99(4):1877-2013.</w:t>
      </w:r>
    </w:p>
    <w:p>
      <w:pPr>
        <w:spacing w:after="60" w:line="300" w:lineRule="auto"/>
        <w:ind w:left="510" w:hanging="510"/>
      </w:pPr>
      <w:r>
        <w:rPr>
          <w:rFonts w:ascii="Times New Roman" w:hAnsi="Times New Roman" w:eastAsia="宋体"/>
          <w:b/>
          <w:i w:val="0"/>
          <w:color w:val="10305A"/>
          <w:sz w:val="19"/>
        </w:rPr>
        <w:t xml:space="preserve">[3] </w:t>
      </w:r>
      <w:r>
        <w:rPr>
          <w:rFonts w:ascii="Times New Roman" w:hAnsi="Times New Roman" w:eastAsia="宋体"/>
          <w:b w:val="0"/>
          <w:i w:val="0"/>
          <w:color w:val="1F2937"/>
          <w:sz w:val="19"/>
        </w:rPr>
        <w:t>Marizzoni M, Cattaneo A, Mirabelli P, et al. Short-chain fatty acids and lipopolysaccharide as mediators between gut dysbiosis and amyloid pathology in Alzheimer's disease. J Alzheimers Dis. 2020;78(2):683-697.</w:t>
      </w:r>
    </w:p>
    <w:p>
      <w:pPr>
        <w:spacing w:after="60" w:line="300" w:lineRule="auto"/>
        <w:ind w:left="510" w:hanging="510"/>
      </w:pPr>
      <w:r>
        <w:rPr>
          <w:rFonts w:ascii="Times New Roman" w:hAnsi="Times New Roman" w:eastAsia="宋体"/>
          <w:b/>
          <w:i w:val="0"/>
          <w:color w:val="10305A"/>
          <w:sz w:val="19"/>
        </w:rPr>
        <w:t xml:space="preserve">[4] </w:t>
      </w:r>
      <w:r>
        <w:rPr>
          <w:rFonts w:ascii="Times New Roman" w:hAnsi="Times New Roman" w:eastAsia="宋体"/>
          <w:b w:val="0"/>
          <w:i w:val="0"/>
          <w:color w:val="1F2937"/>
          <w:sz w:val="19"/>
        </w:rPr>
        <w:t>Zhang Y, et al. Exploring pathological link between antimicrobial and amyloid peptides. Chemical Society Reviews. 2024. DOI: 10.1039/D3CS00878A.</w:t>
      </w:r>
    </w:p>
    <w:p>
      <w:pPr>
        <w:spacing w:after="60" w:line="300" w:lineRule="auto"/>
        <w:ind w:left="510" w:hanging="510"/>
      </w:pPr>
      <w:r>
        <w:rPr>
          <w:rFonts w:ascii="Times New Roman" w:hAnsi="Times New Roman" w:eastAsia="宋体"/>
          <w:b/>
          <w:i w:val="0"/>
          <w:color w:val="10305A"/>
          <w:sz w:val="19"/>
        </w:rPr>
        <w:t xml:space="preserve">[5] </w:t>
      </w:r>
      <w:r>
        <w:rPr>
          <w:rFonts w:ascii="Times New Roman" w:hAnsi="Times New Roman" w:eastAsia="宋体"/>
          <w:b w:val="0"/>
          <w:i w:val="0"/>
          <w:color w:val="1F2937"/>
          <w:sz w:val="19"/>
        </w:rPr>
        <w:t>Soscia SJ, Kirby JE, Washicosky KJ, et al. The Alzheimer's disease-associated amyloid β-protein is an antimicrobial peptide. PLoS ONE. 2010;5(3):e9505. PMID: 20376360</w:t>
      </w:r>
    </w:p>
    <w:p>
      <w:pPr>
        <w:spacing w:after="60" w:line="300" w:lineRule="auto"/>
        <w:ind w:left="510" w:hanging="510"/>
      </w:pPr>
      <w:r>
        <w:rPr>
          <w:rFonts w:ascii="Times New Roman" w:hAnsi="Times New Roman" w:eastAsia="宋体"/>
          <w:b/>
          <w:i w:val="0"/>
          <w:color w:val="10305A"/>
          <w:sz w:val="19"/>
        </w:rPr>
        <w:t xml:space="preserve">[6] </w:t>
      </w:r>
      <w:r>
        <w:rPr>
          <w:rFonts w:ascii="Times New Roman" w:hAnsi="Times New Roman" w:eastAsia="宋体"/>
          <w:b w:val="0"/>
          <w:i w:val="0"/>
          <w:color w:val="1F2937"/>
          <w:sz w:val="19"/>
        </w:rPr>
        <w:t>Moir RD, Lathe R, Tanzi RE. The antimicrobial protection hypothesis of Alzheimer’s disease. Alzheimer’s &amp; Dementia. 2018;14(12):1602-1614. DOI: 10.1016/j.jalz.2018.06.3040.</w:t>
      </w:r>
    </w:p>
    <w:p>
      <w:pPr>
        <w:spacing w:after="60" w:line="300" w:lineRule="auto"/>
        <w:ind w:left="510" w:hanging="510"/>
      </w:pPr>
      <w:r>
        <w:rPr>
          <w:rFonts w:ascii="Times New Roman" w:hAnsi="Times New Roman" w:eastAsia="宋体"/>
          <w:b/>
          <w:i w:val="0"/>
          <w:color w:val="10305A"/>
          <w:sz w:val="19"/>
        </w:rPr>
        <w:t xml:space="preserve">[7] </w:t>
      </w:r>
      <w:r>
        <w:rPr>
          <w:rFonts w:ascii="Times New Roman" w:hAnsi="Times New Roman" w:eastAsia="宋体"/>
          <w:b w:val="0"/>
          <w:i w:val="0"/>
          <w:color w:val="1F2937"/>
          <w:sz w:val="19"/>
        </w:rPr>
        <w:t>Kumar DK, Choi SH, Washicosky KJ, et al. Amyloid-β peptide protects against microbial infection in mouse and worm models of Alzheimer's disease. Sci Transl Med. 2016;8(340):340ra72.</w:t>
      </w:r>
    </w:p>
    <w:p>
      <w:pPr>
        <w:spacing w:after="60" w:line="300" w:lineRule="auto"/>
        <w:ind w:left="510" w:hanging="510"/>
      </w:pPr>
      <w:r>
        <w:rPr>
          <w:rFonts w:ascii="Times New Roman" w:hAnsi="Times New Roman" w:eastAsia="宋体"/>
          <w:b/>
          <w:i w:val="0"/>
          <w:color w:val="10305A"/>
          <w:sz w:val="19"/>
        </w:rPr>
        <w:t xml:space="preserve">[8] </w:t>
      </w:r>
      <w:r>
        <w:rPr>
          <w:rFonts w:ascii="Times New Roman" w:hAnsi="Times New Roman" w:eastAsia="宋体"/>
          <w:b w:val="0"/>
          <w:i w:val="0"/>
          <w:color w:val="1F2937"/>
          <w:sz w:val="19"/>
        </w:rPr>
        <w:t>Williams WM, Torres S, Siedlak SL, et al. Antimicrobial peptide β-defensin-1 expression is upregulated in Alzheimer’s brain. Journal of Neuroinflammation. 2013;10:127. DOI: 10.1186/1742-2094-10-127.</w:t>
      </w:r>
    </w:p>
    <w:p>
      <w:pPr>
        <w:spacing w:after="60" w:line="300" w:lineRule="auto"/>
        <w:ind w:left="510" w:hanging="510"/>
      </w:pPr>
      <w:r>
        <w:rPr>
          <w:rFonts w:ascii="Times New Roman" w:hAnsi="Times New Roman" w:eastAsia="宋体"/>
          <w:b/>
          <w:i w:val="0"/>
          <w:color w:val="10305A"/>
          <w:sz w:val="19"/>
        </w:rPr>
        <w:t xml:space="preserve">[9] </w:t>
      </w:r>
      <w:r>
        <w:rPr>
          <w:rFonts w:ascii="Times New Roman" w:hAnsi="Times New Roman" w:eastAsia="宋体"/>
          <w:b w:val="0"/>
          <w:i w:val="0"/>
          <w:color w:val="1F2937"/>
          <w:sz w:val="19"/>
        </w:rPr>
        <w:t>Brock DG, Loewy A, Bloomfield S, et al. The antimicrobial protein CAP37 is upregulated in pyramidal neurons during Alzheimer’s disease. Histochemistry and Cell Biology. 2015;144(5):447-460. DOI: 10.1007/s00418-015-1347-x.</w:t>
      </w:r>
    </w:p>
    <w:p>
      <w:pPr>
        <w:spacing w:after="60" w:line="300" w:lineRule="auto"/>
        <w:ind w:left="510" w:hanging="510"/>
      </w:pPr>
      <w:r>
        <w:rPr>
          <w:rFonts w:ascii="Times New Roman" w:hAnsi="Times New Roman" w:eastAsia="宋体"/>
          <w:b/>
          <w:i w:val="0"/>
          <w:color w:val="10305A"/>
          <w:sz w:val="19"/>
        </w:rPr>
        <w:t xml:space="preserve">[10] </w:t>
      </w:r>
      <w:r>
        <w:rPr>
          <w:rFonts w:ascii="Times New Roman" w:hAnsi="Times New Roman" w:eastAsia="宋体"/>
          <w:b w:val="0"/>
          <w:i w:val="0"/>
          <w:color w:val="1F2937"/>
          <w:sz w:val="19"/>
        </w:rPr>
        <w:t>Chen X, Deng S, Wang W, et al. Human antimicrobial peptide LL-37 contributes to Alzheimer’s disease progression. Molecular Psychiatry. 2022;27:4790-4799. DOI: 10.1038/s41380-022-01790-6; PMID: 36138130.</w:t>
      </w:r>
    </w:p>
    <w:p>
      <w:pPr>
        <w:spacing w:after="60" w:line="300" w:lineRule="auto"/>
        <w:ind w:left="510" w:hanging="510"/>
      </w:pPr>
      <w:r>
        <w:rPr>
          <w:rFonts w:ascii="Times New Roman" w:hAnsi="Times New Roman" w:eastAsia="宋体"/>
          <w:b/>
          <w:i w:val="0"/>
          <w:color w:val="10305A"/>
          <w:sz w:val="19"/>
        </w:rPr>
        <w:t xml:space="preserve">[11] </w:t>
      </w:r>
      <w:r>
        <w:rPr>
          <w:rFonts w:ascii="Times New Roman" w:hAnsi="Times New Roman" w:eastAsia="宋体"/>
          <w:b w:val="0"/>
          <w:i w:val="0"/>
          <w:color w:val="1F2937"/>
          <w:sz w:val="19"/>
        </w:rPr>
        <w:t>Antimicrobial peptides in the pathogenesis of Alzheimer’s disease: implications for diagnosis and treatment. Antibiotics. 2022;11(6):726. DOI: 10.3390/antibiotics11060726.</w:t>
      </w:r>
    </w:p>
    <w:p>
      <w:pPr>
        <w:spacing w:after="60" w:line="300" w:lineRule="auto"/>
        <w:ind w:left="510" w:hanging="510"/>
      </w:pPr>
      <w:r>
        <w:rPr>
          <w:rFonts w:ascii="Times New Roman" w:hAnsi="Times New Roman" w:eastAsia="宋体"/>
          <w:b/>
          <w:i w:val="0"/>
          <w:color w:val="10305A"/>
          <w:sz w:val="19"/>
        </w:rPr>
        <w:t xml:space="preserve">[12] </w:t>
      </w:r>
      <w:r>
        <w:rPr>
          <w:rFonts w:ascii="Times New Roman" w:hAnsi="Times New Roman" w:eastAsia="宋体"/>
          <w:b w:val="0"/>
          <w:i w:val="0"/>
          <w:color w:val="1F2937"/>
          <w:sz w:val="19"/>
        </w:rPr>
        <w:t>Emery DC, Shoemark DK, Batstone TE, et al. 16S rRNA next generation sequencing analysis shows bacteria in Alzheimer’s post-mortem brain. Frontiers in Aging Neuroscience. 2017;9:195. DOI: 10.3389/fnagi.2017.00195.</w:t>
      </w:r>
    </w:p>
    <w:p>
      <w:pPr>
        <w:spacing w:after="60" w:line="300" w:lineRule="auto"/>
        <w:ind w:left="510" w:hanging="510"/>
      </w:pPr>
      <w:r>
        <w:rPr>
          <w:rFonts w:ascii="Times New Roman" w:hAnsi="Times New Roman" w:eastAsia="宋体"/>
          <w:b/>
          <w:i w:val="0"/>
          <w:color w:val="10305A"/>
          <w:sz w:val="19"/>
        </w:rPr>
        <w:t xml:space="preserve">[13] </w:t>
      </w:r>
      <w:r>
        <w:rPr>
          <w:rFonts w:ascii="Times New Roman" w:hAnsi="Times New Roman" w:eastAsia="宋体"/>
          <w:b w:val="0"/>
          <w:i w:val="0"/>
          <w:color w:val="1F2937"/>
          <w:sz w:val="19"/>
        </w:rPr>
        <w:t>Zhan X, Stamova B, Sharp FR. Lipopolysaccharide associates with amyloid plaques, neurons and oligodendrocytes in Alzheimer’s disease brain. Frontiers in Aging Neuroscience. 2018;10:42. DOI: 10.3389/fnagi.2018.00042.</w:t>
      </w:r>
    </w:p>
    <w:p>
      <w:pPr>
        <w:spacing w:after="60" w:line="300" w:lineRule="auto"/>
        <w:ind w:left="510" w:hanging="510"/>
      </w:pPr>
      <w:r>
        <w:rPr>
          <w:rFonts w:ascii="Times New Roman" w:hAnsi="Times New Roman" w:eastAsia="宋体"/>
          <w:b/>
          <w:i w:val="0"/>
          <w:color w:val="10305A"/>
          <w:sz w:val="19"/>
        </w:rPr>
        <w:t xml:space="preserve">[14] </w:t>
      </w:r>
      <w:r>
        <w:rPr>
          <w:rFonts w:ascii="Times New Roman" w:hAnsi="Times New Roman" w:eastAsia="宋体"/>
          <w:b w:val="0"/>
          <w:i w:val="0"/>
          <w:color w:val="1F2937"/>
          <w:sz w:val="19"/>
        </w:rPr>
        <w:t>Balin BJ, Gérard HC, Arking EJ, et al. Identification and localization of Chlamydia pneumoniae in the Alzheimer’s brain. Medical Microbiology and Immunology. 1998;187(1):23-42. DOI: 10.1007/s004300050071.</w:t>
      </w:r>
    </w:p>
    <w:p>
      <w:pPr>
        <w:spacing w:after="60" w:line="300" w:lineRule="auto"/>
        <w:ind w:left="510" w:hanging="510"/>
      </w:pPr>
      <w:r>
        <w:rPr>
          <w:rFonts w:ascii="Times New Roman" w:hAnsi="Times New Roman" w:eastAsia="宋体"/>
          <w:b/>
          <w:i w:val="0"/>
          <w:color w:val="10305A"/>
          <w:sz w:val="19"/>
        </w:rPr>
        <w:t xml:space="preserve">[15] </w:t>
      </w:r>
      <w:r>
        <w:rPr>
          <w:rFonts w:ascii="Times New Roman" w:hAnsi="Times New Roman" w:eastAsia="宋体"/>
          <w:b w:val="0"/>
          <w:i w:val="0"/>
          <w:color w:val="1F2937"/>
          <w:sz w:val="19"/>
        </w:rPr>
        <w:t>Dominy SS, Lynch C, Ermini F, et al. Porphyromonas gingivalis in Alzheimer’s disease brains: evidence for disease causation and treatment with small-molecule inhibitors. Science Advances. 2019;5(1):eaau3333. DOI: 10.1126/sciadv.aau3333.</w:t>
      </w:r>
    </w:p>
    <w:p>
      <w:pPr>
        <w:spacing w:after="60" w:line="300" w:lineRule="auto"/>
        <w:ind w:left="510" w:hanging="510"/>
      </w:pPr>
      <w:r>
        <w:rPr>
          <w:rFonts w:ascii="Times New Roman" w:hAnsi="Times New Roman" w:eastAsia="宋体"/>
          <w:b/>
          <w:i w:val="0"/>
          <w:color w:val="10305A"/>
          <w:sz w:val="19"/>
        </w:rPr>
        <w:t xml:space="preserve">[16] </w:t>
      </w:r>
      <w:r>
        <w:rPr>
          <w:rFonts w:ascii="Times New Roman" w:hAnsi="Times New Roman" w:eastAsia="宋体"/>
          <w:b w:val="0"/>
          <w:i w:val="0"/>
          <w:color w:val="1F2937"/>
          <w:sz w:val="19"/>
        </w:rPr>
        <w:t>Wozniak MA, Itzhaki RF, Shipley SJ, Dobson CB. Herpes simplex virus infection causes cellular β-amyloid accumulation and secretase upregulation. Neuroscience Letters. 2007;429(2-3):95-100. DOI: 10.1016/j.neulet.2007.09.077.</w:t>
      </w:r>
    </w:p>
    <w:p>
      <w:pPr>
        <w:spacing w:after="60" w:line="300" w:lineRule="auto"/>
        <w:ind w:left="510" w:hanging="510"/>
      </w:pPr>
      <w:r>
        <w:rPr>
          <w:rFonts w:ascii="Times New Roman" w:hAnsi="Times New Roman" w:eastAsia="宋体"/>
          <w:b/>
          <w:i w:val="0"/>
          <w:color w:val="10305A"/>
          <w:sz w:val="19"/>
        </w:rPr>
        <w:t xml:space="preserve">[17] </w:t>
      </w:r>
      <w:r>
        <w:rPr>
          <w:rFonts w:ascii="Times New Roman" w:hAnsi="Times New Roman" w:eastAsia="宋体"/>
          <w:b w:val="0"/>
          <w:i w:val="0"/>
          <w:color w:val="1F2937"/>
          <w:sz w:val="19"/>
        </w:rPr>
        <w:t>Eimer WA, Vijaya Kumar DK, Navalpur Shanmugam NK, et al. Alzheimer’s disease-associated β-amyloid is rapidly seeded by Herpesviridae to protect against brain infection. Neuron. 2018;99(1):56-63. DOI: 10.1016/j.neuron.2018.06.030.</w:t>
      </w:r>
    </w:p>
    <w:p>
      <w:pPr>
        <w:spacing w:after="60" w:line="300" w:lineRule="auto"/>
        <w:ind w:left="510" w:hanging="510"/>
      </w:pPr>
      <w:r>
        <w:rPr>
          <w:rFonts w:ascii="Times New Roman" w:hAnsi="Times New Roman" w:eastAsia="宋体"/>
          <w:b/>
          <w:i w:val="0"/>
          <w:color w:val="10305A"/>
          <w:sz w:val="19"/>
        </w:rPr>
        <w:t xml:space="preserve">[18] </w:t>
      </w:r>
      <w:r>
        <w:rPr>
          <w:rFonts w:ascii="Times New Roman" w:hAnsi="Times New Roman" w:eastAsia="宋体"/>
          <w:b w:val="0"/>
          <w:i w:val="0"/>
          <w:color w:val="1F2937"/>
          <w:sz w:val="19"/>
        </w:rPr>
        <w:t>Alzheimer’s disease and infectious agents: a comprehensive review of pathogenic mechanisms and microRNA roles. 2025. PMID: 39840010. Verify final journal metadata before thesis submission.</w:t>
      </w:r>
    </w:p>
    <w:p>
      <w:pPr>
        <w:spacing w:after="60" w:line="300" w:lineRule="auto"/>
        <w:ind w:left="510" w:hanging="510"/>
      </w:pPr>
      <w:r>
        <w:rPr>
          <w:rFonts w:ascii="Times New Roman" w:hAnsi="Times New Roman" w:eastAsia="宋体"/>
          <w:b/>
          <w:i w:val="0"/>
          <w:color w:val="10305A"/>
          <w:sz w:val="19"/>
        </w:rPr>
        <w:t xml:space="preserve">[19] </w:t>
      </w:r>
      <w:r>
        <w:rPr>
          <w:rFonts w:ascii="Times New Roman" w:hAnsi="Times New Roman" w:eastAsia="宋体"/>
          <w:b w:val="0"/>
          <w:i w:val="0"/>
          <w:color w:val="1F2937"/>
          <w:sz w:val="19"/>
        </w:rPr>
        <w:t>Beyond association: a quantitative analysis of the infectious burden in Alzheimer’s disease. 2026. PMC13291386. Population-attributable estimates should not be interpreted as individual causality.</w:t>
      </w:r>
    </w:p>
    <w:p>
      <w:pPr>
        <w:spacing w:after="60" w:line="300" w:lineRule="auto"/>
        <w:ind w:left="510" w:hanging="510"/>
      </w:pPr>
      <w:r>
        <w:rPr>
          <w:rFonts w:ascii="Times New Roman" w:hAnsi="Times New Roman" w:eastAsia="宋体"/>
          <w:b/>
          <w:i w:val="0"/>
          <w:color w:val="10305A"/>
          <w:sz w:val="19"/>
        </w:rPr>
        <w:t xml:space="preserve">[20] </w:t>
      </w:r>
      <w:r>
        <w:rPr>
          <w:rFonts w:ascii="Times New Roman" w:hAnsi="Times New Roman" w:eastAsia="宋体"/>
          <w:b w:val="0"/>
          <w:i w:val="0"/>
          <w:color w:val="1F2937"/>
          <w:sz w:val="19"/>
        </w:rPr>
        <w:t>Preoperative microbiomes and intestinal barrier function can differentiate prodromal Alzheimer’s disease in elderly patients. Frontiers in Cellular and Infection Microbiology. 2021. PMC8044800.</w:t>
      </w:r>
    </w:p>
    <w:p>
      <w:pPr>
        <w:spacing w:after="60" w:line="300" w:lineRule="auto"/>
        <w:ind w:left="510" w:hanging="510"/>
      </w:pPr>
      <w:r>
        <w:rPr>
          <w:rFonts w:ascii="Times New Roman" w:hAnsi="Times New Roman" w:eastAsia="宋体"/>
          <w:b/>
          <w:i w:val="0"/>
          <w:color w:val="10305A"/>
          <w:sz w:val="19"/>
        </w:rPr>
        <w:t xml:space="preserve">[21] </w:t>
      </w:r>
      <w:r>
        <w:rPr>
          <w:rFonts w:ascii="Times New Roman" w:hAnsi="Times New Roman" w:eastAsia="宋体"/>
          <w:b w:val="0"/>
          <w:i w:val="0"/>
          <w:color w:val="1F2937"/>
          <w:sz w:val="19"/>
        </w:rPr>
        <w:t>Gut permeability and cognitive decline: a pilot investigation in the Northern Manhattan Study. 2021. PMC8186438.</w:t>
      </w:r>
    </w:p>
    <w:p>
      <w:pPr>
        <w:spacing w:after="60" w:line="300" w:lineRule="auto"/>
        <w:ind w:left="510" w:hanging="510"/>
      </w:pPr>
      <w:r>
        <w:rPr>
          <w:rFonts w:ascii="Times New Roman" w:hAnsi="Times New Roman" w:eastAsia="宋体"/>
          <w:b/>
          <w:i w:val="0"/>
          <w:color w:val="10305A"/>
          <w:sz w:val="19"/>
        </w:rPr>
        <w:t xml:space="preserve">[22] </w:t>
      </w:r>
      <w:r>
        <w:rPr>
          <w:rFonts w:ascii="Times New Roman" w:hAnsi="Times New Roman" w:eastAsia="宋体"/>
          <w:b w:val="0"/>
          <w:i w:val="0"/>
          <w:color w:val="1F2937"/>
          <w:sz w:val="19"/>
        </w:rPr>
        <w:t>Lipopolysaccharide-binding protein and Alzheimer’s disease risk. Frontiers in Neurology. 2024;15:1408220. DOI: 10.3389/fneur.2024.1408220.</w:t>
      </w:r>
    </w:p>
    <w:p>
      <w:pPr>
        <w:spacing w:after="60" w:line="300" w:lineRule="auto"/>
        <w:ind w:left="510" w:hanging="510"/>
      </w:pPr>
      <w:r>
        <w:rPr>
          <w:rFonts w:ascii="Times New Roman" w:hAnsi="Times New Roman" w:eastAsia="宋体"/>
          <w:b/>
          <w:i w:val="0"/>
          <w:color w:val="10305A"/>
          <w:sz w:val="19"/>
        </w:rPr>
        <w:t xml:space="preserve">[23] </w:t>
      </w:r>
      <w:r>
        <w:rPr>
          <w:rFonts w:ascii="Times New Roman" w:hAnsi="Times New Roman" w:eastAsia="宋体"/>
          <w:b w:val="0"/>
          <w:i w:val="0"/>
          <w:color w:val="1F2937"/>
          <w:sz w:val="19"/>
        </w:rPr>
        <w:t>Santos-Júnior CD, Pan S, Zhao XM, Coelho LP. Macrel: antimicrobial peptide screening in genomes and metagenomes. PeerJ. 2020;8:e10555.</w:t>
      </w:r>
    </w:p>
    <w:p>
      <w:pPr>
        <w:spacing w:after="60" w:line="300" w:lineRule="auto"/>
        <w:ind w:left="510" w:hanging="510"/>
      </w:pPr>
      <w:r>
        <w:rPr>
          <w:rFonts w:ascii="Times New Roman" w:hAnsi="Times New Roman" w:eastAsia="宋体"/>
          <w:b/>
          <w:i w:val="0"/>
          <w:color w:val="10305A"/>
          <w:sz w:val="19"/>
        </w:rPr>
        <w:t xml:space="preserve">[24] </w:t>
      </w:r>
      <w:r>
        <w:rPr>
          <w:rFonts w:ascii="Times New Roman" w:hAnsi="Times New Roman" w:eastAsia="宋体"/>
          <w:b w:val="0"/>
          <w:i w:val="0"/>
          <w:color w:val="1F2937"/>
          <w:sz w:val="19"/>
        </w:rPr>
        <w:t>Li C, Sutherland D, Hammond SA, et al. AMPlify: attentive deep learning model for discovery of novel antimicrobial peptides effective against WHO priority pathogens. BMC Genomics. 2022;23:77.</w:t>
      </w:r>
    </w:p>
    <w:p>
      <w:pPr>
        <w:spacing w:after="60" w:line="300" w:lineRule="auto"/>
        <w:ind w:left="510" w:hanging="510"/>
      </w:pPr>
      <w:r>
        <w:rPr>
          <w:rFonts w:ascii="Times New Roman" w:hAnsi="Times New Roman" w:eastAsia="宋体"/>
          <w:b/>
          <w:i w:val="0"/>
          <w:color w:val="10305A"/>
          <w:sz w:val="19"/>
        </w:rPr>
        <w:t xml:space="preserve">[25] </w:t>
      </w:r>
      <w:r>
        <w:rPr>
          <w:rFonts w:ascii="Times New Roman" w:hAnsi="Times New Roman" w:eastAsia="宋体"/>
          <w:b w:val="0"/>
          <w:i w:val="0"/>
          <w:color w:val="1F2937"/>
          <w:sz w:val="19"/>
        </w:rPr>
        <w:t>Santos-Júnior CD, Torres MDT, Duan Y, et al. Discovery of antimicrobial peptides in the global microbiome with machine learning. Cell. 2024;187(14):3761-3778.</w:t>
      </w:r>
    </w:p>
    <w:p>
      <w:pPr>
        <w:spacing w:after="60" w:line="300" w:lineRule="auto"/>
        <w:ind w:left="510" w:hanging="510"/>
      </w:pPr>
      <w:r>
        <w:rPr>
          <w:rFonts w:ascii="Times New Roman" w:hAnsi="Times New Roman" w:eastAsia="宋体"/>
          <w:b/>
          <w:i w:val="0"/>
          <w:color w:val="10305A"/>
          <w:sz w:val="19"/>
        </w:rPr>
        <w:t xml:space="preserve">[26] </w:t>
      </w:r>
      <w:r>
        <w:rPr>
          <w:rFonts w:ascii="Times New Roman" w:hAnsi="Times New Roman" w:eastAsia="宋体"/>
          <w:b w:val="0"/>
          <w:i w:val="0"/>
          <w:color w:val="1F2937"/>
          <w:sz w:val="19"/>
        </w:rPr>
        <w:t>Detection of antimicrobial peptides from fecal samples of FMT donors using deep learning. 2025. PMID: 41164228; PMC12560166. Workflow includes metagenomic mining, metaproteomic cross-validation and molecular dynamics.</w:t>
      </w:r>
    </w:p>
    <w:p>
      <w:pPr>
        <w:spacing w:after="60" w:line="300" w:lineRule="auto"/>
        <w:ind w:left="510" w:hanging="510"/>
      </w:pPr>
      <w:r>
        <w:rPr>
          <w:rFonts w:ascii="Times New Roman" w:hAnsi="Times New Roman" w:eastAsia="宋体"/>
          <w:b/>
          <w:i w:val="0"/>
          <w:color w:val="10305A"/>
          <w:sz w:val="19"/>
        </w:rPr>
        <w:t xml:space="preserve">[27] </w:t>
      </w:r>
      <w:r>
        <w:rPr>
          <w:rFonts w:ascii="Times New Roman" w:hAnsi="Times New Roman" w:eastAsia="宋体"/>
          <w:b w:val="0"/>
          <w:i w:val="0"/>
          <w:color w:val="1F2937"/>
          <w:sz w:val="19"/>
        </w:rPr>
        <w:t>Wan F, Wong F, Collins JJ, et al. Machine learning for antimicrobial peptide identification and design. Nature Reviews Bioengineering. 2024;2:392-407. DOI: 10.1038/s44222-024-00152-x.</w:t>
      </w:r>
    </w:p>
    <w:p>
      <w:pPr>
        <w:spacing w:after="60" w:line="300" w:lineRule="auto"/>
        <w:ind w:left="510" w:hanging="510"/>
      </w:pPr>
      <w:r>
        <w:rPr>
          <w:rFonts w:ascii="Times New Roman" w:hAnsi="Times New Roman" w:eastAsia="宋体"/>
          <w:b/>
          <w:i w:val="0"/>
          <w:color w:val="10305A"/>
          <w:sz w:val="19"/>
        </w:rPr>
        <w:t xml:space="preserve">[28] </w:t>
      </w:r>
      <w:r>
        <w:rPr>
          <w:rFonts w:ascii="Times New Roman" w:hAnsi="Times New Roman" w:eastAsia="宋体"/>
          <w:b w:val="0"/>
          <w:i w:val="0"/>
          <w:color w:val="1F2937"/>
          <w:sz w:val="19"/>
        </w:rPr>
        <w:t>Vogt NM, Kerby RL, Dill-McFarland KA, et al. Gut microbiome alterations in Alzheimer's disease. Sci Rep. 2017;7:13537.</w:t>
      </w:r>
    </w:p>
    <w:p>
      <w:pPr>
        <w:spacing w:after="60" w:line="300" w:lineRule="auto"/>
        <w:ind w:left="510" w:hanging="510"/>
      </w:pPr>
      <w:r>
        <w:rPr>
          <w:rFonts w:ascii="Times New Roman" w:hAnsi="Times New Roman" w:eastAsia="宋体"/>
          <w:b/>
          <w:i w:val="0"/>
          <w:color w:val="10305A"/>
          <w:sz w:val="19"/>
        </w:rPr>
        <w:t xml:space="preserve">[29] </w:t>
      </w:r>
      <w:r>
        <w:rPr>
          <w:rFonts w:ascii="Times New Roman" w:hAnsi="Times New Roman" w:eastAsia="宋体"/>
          <w:b w:val="0"/>
          <w:i w:val="0"/>
          <w:color w:val="1F2937"/>
          <w:sz w:val="19"/>
        </w:rPr>
        <w:t>Cattaneo A, Cattane N, Galluzzi S, et al. Association of brain amyloidosis with pro-inflammatory gut bacterial taxa and peripheral inflammation markers in cognitively impaired elderly. Neurobiol Aging. 2017;49:60-68.</w:t>
      </w:r>
    </w:p>
    <w:p>
      <w:pPr>
        <w:spacing w:after="60" w:line="300" w:lineRule="auto"/>
        <w:ind w:left="510" w:hanging="510"/>
      </w:pPr>
      <w:r>
        <w:rPr>
          <w:rFonts w:ascii="Times New Roman" w:hAnsi="Times New Roman" w:eastAsia="宋体"/>
          <w:b/>
          <w:i w:val="0"/>
          <w:color w:val="10305A"/>
          <w:sz w:val="19"/>
        </w:rPr>
        <w:t xml:space="preserve">[30] </w:t>
      </w:r>
      <w:r>
        <w:rPr>
          <w:rFonts w:ascii="Times New Roman" w:hAnsi="Times New Roman" w:eastAsia="宋体"/>
          <w:b w:val="0"/>
          <w:i w:val="0"/>
          <w:color w:val="1F2937"/>
          <w:sz w:val="19"/>
        </w:rPr>
        <w:t>Zhuang ZQ, Shen LL, Li WW, et al. Gut microbiota is altered in patients with Alzheimer's disease. J Alzheimers Dis. 2018;63(4):1337-1346.</w:t>
      </w:r>
    </w:p>
    <w:p>
      <w:pPr>
        <w:spacing w:after="60" w:line="300" w:lineRule="auto"/>
        <w:ind w:left="510" w:hanging="510"/>
      </w:pPr>
      <w:r>
        <w:rPr>
          <w:rFonts w:ascii="Times New Roman" w:hAnsi="Times New Roman" w:eastAsia="宋体"/>
          <w:b/>
          <w:i w:val="0"/>
          <w:color w:val="10305A"/>
          <w:sz w:val="19"/>
        </w:rPr>
        <w:t xml:space="preserve">[31] </w:t>
      </w:r>
      <w:r>
        <w:rPr>
          <w:rFonts w:ascii="Times New Roman" w:hAnsi="Times New Roman" w:eastAsia="宋体"/>
          <w:b w:val="0"/>
          <w:i w:val="0"/>
          <w:color w:val="1F2937"/>
          <w:sz w:val="19"/>
        </w:rPr>
        <w:t>Liu P, Wu L, Peng G, et al. Altered microbiomes distinguish Alzheimer's disease from amnestic mild cognitive impairment and health in a Chinese cohort. Brain Behav Immun. 2019;80:633-643.</w:t>
      </w:r>
    </w:p>
    <w:p>
      <w:pPr>
        <w:spacing w:after="60" w:line="300" w:lineRule="auto"/>
        <w:ind w:left="510" w:hanging="510"/>
      </w:pPr>
      <w:r>
        <w:rPr>
          <w:rFonts w:ascii="Times New Roman" w:hAnsi="Times New Roman" w:eastAsia="宋体"/>
          <w:b/>
          <w:i w:val="0"/>
          <w:color w:val="10305A"/>
          <w:sz w:val="19"/>
        </w:rPr>
        <w:t xml:space="preserve">[32] </w:t>
      </w:r>
      <w:r>
        <w:rPr>
          <w:rFonts w:ascii="Times New Roman" w:hAnsi="Times New Roman" w:eastAsia="宋体"/>
          <w:b w:val="0"/>
          <w:i w:val="0"/>
          <w:color w:val="1F2937"/>
          <w:sz w:val="19"/>
        </w:rPr>
        <w:t>Li B, He Y, Ma J, et al. Mild cognitive impairment has similar alterations as Alzheimer's disease in gut microbiota. Alzheimers Dement. 2019;15(10):1357-1366.</w:t>
      </w:r>
    </w:p>
    <w:p>
      <w:pPr>
        <w:spacing w:after="60" w:line="300" w:lineRule="auto"/>
        <w:ind w:left="510" w:hanging="510"/>
      </w:pPr>
      <w:r>
        <w:rPr>
          <w:rFonts w:ascii="Times New Roman" w:hAnsi="Times New Roman" w:eastAsia="宋体"/>
          <w:b/>
          <w:i w:val="0"/>
          <w:color w:val="10305A"/>
          <w:sz w:val="19"/>
        </w:rPr>
        <w:t xml:space="preserve">[33] </w:t>
      </w:r>
      <w:r>
        <w:rPr>
          <w:rFonts w:ascii="Times New Roman" w:hAnsi="Times New Roman" w:eastAsia="宋体"/>
          <w:b w:val="0"/>
          <w:i w:val="0"/>
          <w:color w:val="1F2937"/>
          <w:sz w:val="19"/>
        </w:rPr>
        <w:t>The correlation and gut microbial characteristics in the whole spectrum of Alzheimer’s disease: a systematic review and meta-analysis. Frontiers in Neuroscience. 2026. DOI: 10.3389/fnins.2026.1775002.</w:t>
      </w:r>
    </w:p>
    <w:p>
      <w:pPr>
        <w:spacing w:after="60" w:line="300" w:lineRule="auto"/>
        <w:ind w:left="510" w:hanging="510"/>
      </w:pPr>
      <w:r>
        <w:rPr>
          <w:rFonts w:ascii="Times New Roman" w:hAnsi="Times New Roman" w:eastAsia="宋体"/>
          <w:b/>
          <w:i w:val="0"/>
          <w:color w:val="10305A"/>
          <w:sz w:val="19"/>
        </w:rPr>
        <w:t xml:space="preserve">[34] </w:t>
      </w:r>
      <w:r>
        <w:rPr>
          <w:rFonts w:ascii="Times New Roman" w:hAnsi="Times New Roman" w:eastAsia="宋体"/>
          <w:b w:val="0"/>
          <w:i w:val="0"/>
          <w:color w:val="1F2937"/>
          <w:sz w:val="19"/>
        </w:rPr>
        <w:t>Distinct gut microbiota profiles and network properties in older individuals with subjective cognitive decline, mild cognitive impairment, and Alzheimer’s disease. Alzheimer’s Research &amp; Therapy. 2025. DOI: 10.1186/s13195-025-01820-9.</w:t>
      </w:r>
    </w:p>
    <w:p>
      <w:pPr>
        <w:spacing w:after="60" w:line="300" w:lineRule="auto"/>
        <w:ind w:left="510" w:hanging="510"/>
      </w:pPr>
      <w:r>
        <w:rPr>
          <w:rFonts w:ascii="Times New Roman" w:hAnsi="Times New Roman" w:eastAsia="宋体"/>
          <w:b/>
          <w:i w:val="0"/>
          <w:color w:val="10305A"/>
          <w:sz w:val="19"/>
        </w:rPr>
        <w:t xml:space="preserve">[35] </w:t>
      </w:r>
      <w:r>
        <w:rPr>
          <w:rFonts w:ascii="Times New Roman" w:hAnsi="Times New Roman" w:eastAsia="宋体"/>
          <w:b w:val="0"/>
          <w:i w:val="0"/>
          <w:color w:val="1F2937"/>
          <w:sz w:val="19"/>
        </w:rPr>
        <w:t>Gut microbiome dysbiosis in Alzheimer’s disease and mild cognitive impairment: a systematic review and meta-analysis. PLoS ONE. 2023;18(5):e0285346. DOI: 10.1371/journal.pone.0285346.</w:t>
      </w:r>
    </w:p>
    <w:p>
      <w:pPr>
        <w:spacing w:after="60" w:line="300" w:lineRule="auto"/>
        <w:ind w:left="510" w:hanging="510"/>
      </w:pPr>
      <w:r>
        <w:rPr>
          <w:rFonts w:ascii="Times New Roman" w:hAnsi="Times New Roman" w:eastAsia="宋体"/>
          <w:b/>
          <w:i w:val="0"/>
          <w:color w:val="10305A"/>
          <w:sz w:val="19"/>
        </w:rPr>
        <w:t xml:space="preserve">[36] </w:t>
      </w:r>
      <w:r>
        <w:rPr>
          <w:rFonts w:ascii="Times New Roman" w:hAnsi="Times New Roman" w:eastAsia="宋体"/>
          <w:b w:val="0"/>
          <w:i w:val="0"/>
          <w:color w:val="1F2937"/>
          <w:sz w:val="19"/>
        </w:rPr>
        <w:t>Lee EY, et al. Human antimicrobial peptide LL-37 induces glial-mediated neuroinflammation. Biochem Pharmacol. 2015;94(2):130-141.</w:t>
      </w:r>
    </w:p>
    <w:p>
      <w:pPr>
        <w:spacing w:after="60" w:line="300" w:lineRule="auto"/>
        <w:ind w:left="510" w:hanging="510"/>
      </w:pPr>
      <w:r>
        <w:rPr>
          <w:rFonts w:ascii="Times New Roman" w:hAnsi="Times New Roman" w:eastAsia="宋体"/>
          <w:b/>
          <w:i w:val="0"/>
          <w:color w:val="10305A"/>
          <w:sz w:val="19"/>
        </w:rPr>
        <w:t xml:space="preserve">[37] </w:t>
      </w:r>
      <w:r>
        <w:rPr>
          <w:rFonts w:ascii="Times New Roman" w:hAnsi="Times New Roman" w:eastAsia="宋体"/>
          <w:b w:val="0"/>
          <w:i w:val="0"/>
          <w:color w:val="1F2937"/>
          <w:sz w:val="19"/>
        </w:rPr>
        <w:t>Zheng J, et al. Antimicrobial peptides as cross-seeding modulators at the neurodegenerative-infectious interface. Research. 2026. DOI: 10.34133/research.1149. Verify final metadata before submission.</w:t>
      </w:r>
    </w:p>
    <w:p>
      <w:pPr>
        <w:spacing w:after="60" w:line="300" w:lineRule="auto"/>
        <w:ind w:left="510" w:hanging="510"/>
      </w:pPr>
      <w:r>
        <w:rPr>
          <w:rFonts w:ascii="Times New Roman" w:hAnsi="Times New Roman" w:eastAsia="宋体"/>
          <w:b/>
          <w:i w:val="0"/>
          <w:color w:val="10305A"/>
          <w:sz w:val="19"/>
        </w:rPr>
        <w:t xml:space="preserve">[38] </w:t>
      </w:r>
      <w:r>
        <w:rPr>
          <w:rFonts w:ascii="Times New Roman" w:hAnsi="Times New Roman" w:eastAsia="宋体"/>
          <w:b w:val="0"/>
          <w:i w:val="0"/>
          <w:color w:val="1F2937"/>
          <w:sz w:val="19"/>
        </w:rPr>
        <w:t>Zhang Y, et al. Exploring pathological link between antimicrobial and amyloid peptides. Chem Soc Rev. 2024. DOI: 10.1039/D3CS00878A</w:t>
      </w:r>
    </w:p>
    <w:p>
      <w:pPr>
        <w:spacing w:after="60" w:line="300" w:lineRule="auto"/>
        <w:ind w:left="510" w:hanging="510"/>
      </w:pPr>
      <w:r>
        <w:rPr>
          <w:rFonts w:ascii="Times New Roman" w:hAnsi="Times New Roman" w:eastAsia="宋体"/>
          <w:b/>
          <w:i w:val="0"/>
          <w:color w:val="10305A"/>
          <w:sz w:val="19"/>
        </w:rPr>
        <w:t xml:space="preserve">[39] </w:t>
      </w:r>
      <w:r>
        <w:rPr>
          <w:rFonts w:ascii="Times New Roman" w:hAnsi="Times New Roman" w:eastAsia="宋体"/>
          <w:b w:val="0"/>
          <w:i w:val="0"/>
          <w:color w:val="1F2937"/>
          <w:sz w:val="19"/>
        </w:rPr>
        <w:t>Amyloid-β as an effector of innate immunity: pathological or preventative? Infection and Immunity. 2026. DOI: 10.1128/iai.00085-26. Verify final metadata before submission.</w:t>
      </w:r>
    </w:p>
    <w:p>
      <w:pPr>
        <w:spacing w:after="60" w:line="300" w:lineRule="auto"/>
        <w:ind w:left="510" w:hanging="510"/>
      </w:pPr>
      <w:r>
        <w:rPr>
          <w:rFonts w:ascii="Times New Roman" w:hAnsi="Times New Roman" w:eastAsia="宋体"/>
          <w:b/>
          <w:i w:val="0"/>
          <w:color w:val="10305A"/>
          <w:sz w:val="19"/>
        </w:rPr>
        <w:t xml:space="preserve">[40] </w:t>
      </w:r>
      <w:r>
        <w:rPr>
          <w:rFonts w:ascii="Times New Roman" w:hAnsi="Times New Roman" w:eastAsia="宋体"/>
          <w:b w:val="0"/>
          <w:i w:val="0"/>
          <w:color w:val="1F2937"/>
          <w:sz w:val="19"/>
        </w:rPr>
        <w:t>Mechanistic insights into the role of amyloid-beta in innate immunity. Scientific Reports. 2024;14:55423. DOI: 10.1038/s41598-024-55423-9.</w:t>
      </w:r>
    </w:p>
    <w:p>
      <w:pPr>
        <w:spacing w:after="60" w:line="300" w:lineRule="auto"/>
        <w:ind w:left="510" w:hanging="510"/>
      </w:pPr>
      <w:r>
        <w:rPr>
          <w:rFonts w:ascii="Times New Roman" w:hAnsi="Times New Roman" w:eastAsia="宋体"/>
          <w:b/>
          <w:i w:val="0"/>
          <w:color w:val="10305A"/>
          <w:sz w:val="19"/>
        </w:rPr>
        <w:t xml:space="preserve">[41] </w:t>
      </w:r>
      <w:r>
        <w:rPr>
          <w:rFonts w:ascii="Times New Roman" w:hAnsi="Times New Roman" w:eastAsia="宋体"/>
          <w:b w:val="0"/>
          <w:i w:val="0"/>
          <w:color w:val="1F2937"/>
          <w:sz w:val="19"/>
        </w:rPr>
        <w:t>Synergistic regulation of Alzheimer’s disease and intestinal barrier: the LPS-TLR4/NF-kB axis. 2026. PMC13539905. Verify final metadata before submission.</w:t>
      </w:r>
    </w:p>
    <w:p>
      <w:pPr>
        <w:spacing w:after="60" w:line="300" w:lineRule="auto"/>
        <w:ind w:left="510" w:hanging="510"/>
      </w:pPr>
      <w:r>
        <w:rPr>
          <w:rFonts w:ascii="Times New Roman" w:hAnsi="Times New Roman" w:eastAsia="宋体"/>
          <w:b/>
          <w:i w:val="0"/>
          <w:color w:val="10305A"/>
          <w:sz w:val="19"/>
        </w:rPr>
        <w:t xml:space="preserve">[42] </w:t>
      </w:r>
      <w:r>
        <w:rPr>
          <w:rFonts w:ascii="Times New Roman" w:hAnsi="Times New Roman" w:eastAsia="宋体"/>
          <w:b w:val="0"/>
          <w:i w:val="0"/>
          <w:color w:val="1F2937"/>
          <w:sz w:val="19"/>
        </w:rPr>
        <w:t>Associations of serum antimicrobial peptide LL-37 with longitudinal cognitive decline and neurodegeneration among older adults with memory complaints. Journal of Alzheimer’s Disease. 2023. DOI: 10.3233/JAD-230007.</w:t>
      </w:r>
    </w:p>
    <w:p>
      <w:pPr>
        <w:spacing w:after="60" w:line="300" w:lineRule="auto"/>
        <w:ind w:left="510" w:hanging="510"/>
      </w:pPr>
      <w:r>
        <w:rPr>
          <w:rFonts w:ascii="Times New Roman" w:hAnsi="Times New Roman" w:eastAsia="宋体"/>
          <w:b/>
          <w:i w:val="0"/>
          <w:color w:val="10305A"/>
          <w:sz w:val="19"/>
        </w:rPr>
        <w:t xml:space="preserve">[43] </w:t>
      </w:r>
      <w:r>
        <w:rPr>
          <w:rFonts w:ascii="Times New Roman" w:hAnsi="Times New Roman" w:eastAsia="宋体"/>
          <w:b w:val="0"/>
          <w:i w:val="0"/>
          <w:color w:val="1F2937"/>
          <w:sz w:val="19"/>
        </w:rPr>
        <w:t>Decreased salivary lactoferrin levels are specific to Alzheimer’s disease. EBioMedicine. 2020;57:102834. DOI: 10.1016/j.ebiom.2020.102834.</w:t>
      </w:r>
    </w:p>
    <w:p>
      <w:pPr>
        <w:spacing w:after="60" w:line="300" w:lineRule="auto"/>
        <w:ind w:left="510" w:hanging="510"/>
      </w:pPr>
      <w:r>
        <w:rPr>
          <w:rFonts w:ascii="Times New Roman" w:hAnsi="Times New Roman" w:eastAsia="宋体"/>
          <w:b/>
          <w:i w:val="0"/>
          <w:color w:val="10305A"/>
          <w:sz w:val="19"/>
        </w:rPr>
        <w:t xml:space="preserve">[44] </w:t>
      </w:r>
      <w:r>
        <w:rPr>
          <w:rFonts w:ascii="Times New Roman" w:hAnsi="Times New Roman" w:eastAsia="宋体"/>
          <w:b w:val="0"/>
          <w:i w:val="0"/>
          <w:color w:val="1F2937"/>
          <w:sz w:val="19"/>
        </w:rPr>
        <w:t>Salivary lactoferrin levels decrease in Alzheimer’s disease patients at early stage. 2025. PMC11716888. Verify final metadata before submission.</w:t>
      </w:r>
    </w:p>
    <w:p>
      <w:pPr>
        <w:spacing w:after="60" w:line="300" w:lineRule="auto"/>
        <w:ind w:left="510" w:hanging="510"/>
      </w:pPr>
      <w:r>
        <w:rPr>
          <w:rFonts w:ascii="Times New Roman" w:hAnsi="Times New Roman" w:eastAsia="宋体"/>
          <w:b/>
          <w:i w:val="0"/>
          <w:color w:val="10305A"/>
          <w:sz w:val="19"/>
        </w:rPr>
        <w:t xml:space="preserve">[45] </w:t>
      </w:r>
      <w:r>
        <w:rPr>
          <w:rFonts w:ascii="Times New Roman" w:hAnsi="Times New Roman" w:eastAsia="宋体"/>
          <w:b w:val="0"/>
          <w:i w:val="0"/>
          <w:color w:val="1F2937"/>
          <w:sz w:val="19"/>
        </w:rPr>
        <w:t>Atanasova M, Dimitrov I, Ivanov S. Molecular dynamics simulations of acetylcholinesterase-beta-amyloid peptide complex. Cybernetics and Information Technologies. 2020;20(6):140-154. DOI: 10.2478/cait-2020-0068.</w:t>
      </w:r>
    </w:p>
    <w:p>
      <w:pPr>
        <w:spacing w:after="60" w:line="300" w:lineRule="auto"/>
        <w:ind w:left="510" w:hanging="510"/>
      </w:pPr>
      <w:r>
        <w:rPr>
          <w:rFonts w:ascii="Times New Roman" w:hAnsi="Times New Roman" w:eastAsia="宋体"/>
          <w:b/>
          <w:i w:val="0"/>
          <w:color w:val="10305A"/>
          <w:sz w:val="19"/>
        </w:rPr>
        <w:t xml:space="preserve">[46] </w:t>
      </w:r>
      <w:r>
        <w:rPr>
          <w:rFonts w:ascii="Times New Roman" w:hAnsi="Times New Roman" w:eastAsia="宋体"/>
          <w:b w:val="0"/>
          <w:i w:val="0"/>
          <w:color w:val="1F2937"/>
          <w:sz w:val="19"/>
        </w:rPr>
        <w:t>De Ferrari GV, Canales MA, Shin I, et al. A structural motif of acetylcholinesterase that promotes amyloid beta-peptide fibril formation. Biochemistry. 2001;40(35):10447-10457. DOI: 10.1021/bi0101392.</w:t>
      </w:r>
    </w:p>
    <w:p>
      <w:pPr>
        <w:spacing w:after="60" w:line="300" w:lineRule="auto"/>
        <w:ind w:left="510" w:hanging="510"/>
      </w:pPr>
      <w:r>
        <w:rPr>
          <w:rFonts w:ascii="Times New Roman" w:hAnsi="Times New Roman" w:eastAsia="宋体"/>
          <w:b/>
          <w:i w:val="0"/>
          <w:color w:val="10305A"/>
          <w:sz w:val="19"/>
        </w:rPr>
        <w:t xml:space="preserve">[47] </w:t>
      </w:r>
      <w:r>
        <w:rPr>
          <w:rFonts w:ascii="Times New Roman" w:hAnsi="Times New Roman" w:eastAsia="宋体"/>
          <w:b w:val="0"/>
          <w:i w:val="0"/>
          <w:color w:val="1F2937"/>
          <w:sz w:val="19"/>
        </w:rPr>
        <w:t>Inestrosa NC, Dinamarca MC, Alvarez A. Amyloid-cholinesterase interactions. FEBS Journal. 2008;275(4):625-632. DOI: 10.1111/j.1742-4658.2007.06238.x.</w:t>
      </w:r>
    </w:p>
    <w:p>
      <w:pPr>
        <w:spacing w:after="60" w:line="300" w:lineRule="auto"/>
        <w:ind w:left="510" w:hanging="510"/>
      </w:pPr>
      <w:r>
        <w:rPr>
          <w:rFonts w:ascii="Times New Roman" w:hAnsi="Times New Roman" w:eastAsia="宋体"/>
          <w:b/>
          <w:i w:val="0"/>
          <w:color w:val="10305A"/>
          <w:sz w:val="19"/>
        </w:rPr>
        <w:t xml:space="preserve">[48] </w:t>
      </w:r>
      <w:r>
        <w:rPr>
          <w:rFonts w:ascii="Times New Roman" w:hAnsi="Times New Roman" w:eastAsia="宋体"/>
          <w:b w:val="0"/>
          <w:i w:val="0"/>
          <w:color w:val="1F2937"/>
          <w:sz w:val="19"/>
        </w:rPr>
        <w:t>A new motif in the N-terminal of acetylcholinesterase triggers amyloid-beta aggregation and deposition. 2019. PMC6493010. Verify final bibliographic record before submission.</w:t>
      </w:r>
    </w:p>
    <w:p>
      <w:pPr>
        <w:spacing w:after="60" w:line="300" w:lineRule="auto"/>
        <w:ind w:left="510" w:hanging="510"/>
      </w:pPr>
      <w:r>
        <w:rPr>
          <w:rFonts w:ascii="Times New Roman" w:hAnsi="Times New Roman" w:eastAsia="宋体"/>
          <w:b/>
          <w:i w:val="0"/>
          <w:color w:val="10305A"/>
          <w:sz w:val="19"/>
        </w:rPr>
        <w:t xml:space="preserve">[49] </w:t>
      </w:r>
      <w:r>
        <w:rPr>
          <w:rFonts w:ascii="Times New Roman" w:hAnsi="Times New Roman" w:eastAsia="宋体"/>
          <w:b w:val="0"/>
          <w:i w:val="0"/>
          <w:color w:val="1F2937"/>
          <w:sz w:val="19"/>
        </w:rPr>
        <w:t>Rees T, Hammond PI, Soreq H, Younkin S, Brimijoin S. Butyrylcholinesterase attenuates amyloid fibril formation in vitro. PNAS. 2006;103(23):8783-8788. DOI: 10.1073/pnas.0602922103.</w:t>
      </w:r>
    </w:p>
    <w:p>
      <w:pPr>
        <w:spacing w:after="60" w:line="300" w:lineRule="auto"/>
        <w:ind w:left="510" w:hanging="510"/>
      </w:pPr>
      <w:r>
        <w:rPr>
          <w:rFonts w:ascii="Times New Roman" w:hAnsi="Times New Roman" w:eastAsia="宋体"/>
          <w:b/>
          <w:i w:val="0"/>
          <w:color w:val="10305A"/>
          <w:sz w:val="19"/>
        </w:rPr>
        <w:t xml:space="preserve">[50] </w:t>
      </w:r>
      <w:r>
        <w:rPr>
          <w:rFonts w:ascii="Times New Roman" w:hAnsi="Times New Roman" w:eastAsia="宋体"/>
          <w:b w:val="0"/>
          <w:i w:val="0"/>
          <w:color w:val="1F2937"/>
          <w:sz w:val="19"/>
        </w:rPr>
        <w:t>Evidence that the human innate immune peptide LL-37 may be a binding partner of amyloid-β and inhibitor of fibril assembly. J Alzheimers Dis. 2017;59(4):1213-1226. PMID: 28731438</w:t>
      </w:r>
    </w:p>
    <w:p>
      <w:pPr>
        <w:spacing w:after="60" w:line="300" w:lineRule="auto"/>
        <w:ind w:left="510" w:hanging="510"/>
      </w:pPr>
      <w:r>
        <w:rPr>
          <w:rFonts w:ascii="Times New Roman" w:hAnsi="Times New Roman" w:eastAsia="宋体"/>
          <w:b/>
          <w:i w:val="0"/>
          <w:color w:val="10305A"/>
          <w:sz w:val="19"/>
        </w:rPr>
        <w:t xml:space="preserve">[51] </w:t>
      </w:r>
      <w:r>
        <w:rPr>
          <w:rFonts w:ascii="Times New Roman" w:hAnsi="Times New Roman" w:eastAsia="宋体"/>
          <w:b w:val="0"/>
          <w:i w:val="0"/>
          <w:color w:val="1F2937"/>
          <w:sz w:val="19"/>
        </w:rPr>
        <w:t>De Lorenzi E, Chiari M, Colombo R, et al. Evidence that the human innate immune peptide LL-37 may be a binding partner of amyloid-beta and inhibitor of fibril assembly. Journal of Alzheimer’s Disease. 2017;59(4):1213-1226. DOI: 10.3233/JAD-170223; PMID: 28731438.</w:t>
      </w:r>
    </w:p>
    <w:p>
      <w:pPr>
        <w:spacing w:after="60" w:line="300" w:lineRule="auto"/>
        <w:ind w:left="510" w:hanging="510"/>
      </w:pPr>
      <w:r>
        <w:rPr>
          <w:rFonts w:ascii="Times New Roman" w:hAnsi="Times New Roman" w:eastAsia="宋体"/>
          <w:b/>
          <w:i w:val="0"/>
          <w:color w:val="10305A"/>
          <w:sz w:val="19"/>
        </w:rPr>
        <w:t xml:space="preserve">[52] </w:t>
      </w:r>
      <w:r>
        <w:rPr>
          <w:rFonts w:ascii="Times New Roman" w:hAnsi="Times New Roman" w:eastAsia="宋体"/>
          <w:b w:val="0"/>
          <w:i w:val="0"/>
          <w:color w:val="1F2937"/>
          <w:sz w:val="19"/>
        </w:rPr>
        <w:t>Zhang Y, Liu Y, Tang Y, Zhang D, He H, Wu J, Zheng J. Antimicrobial α-defensins as multi-target inhibitors against amyloid formation and microbial infection. Chem Sci. 2021;12(26):9124-9139.</w:t>
      </w:r>
    </w:p>
    <w:p>
      <w:pPr>
        <w:spacing w:after="60" w:line="300" w:lineRule="auto"/>
        <w:ind w:left="510" w:hanging="510"/>
      </w:pPr>
      <w:r>
        <w:rPr>
          <w:rFonts w:ascii="Times New Roman" w:hAnsi="Times New Roman" w:eastAsia="宋体"/>
          <w:b/>
          <w:i w:val="0"/>
          <w:color w:val="10305A"/>
          <w:sz w:val="19"/>
        </w:rPr>
        <w:t xml:space="preserve">[53] </w:t>
      </w:r>
      <w:r>
        <w:rPr>
          <w:rFonts w:ascii="Times New Roman" w:hAnsi="Times New Roman" w:eastAsia="宋体"/>
          <w:b w:val="0"/>
          <w:i w:val="0"/>
          <w:color w:val="1F2937"/>
          <w:sz w:val="19"/>
        </w:rPr>
        <w:t>Repurposing of intestinal defensins as multi-target, dual-function amyloid inhibitors via cross-seeding. Chem Sci. 2022. PMC9214849.</w:t>
      </w:r>
    </w:p>
    <w:p>
      <w:pPr>
        <w:spacing w:after="60" w:line="300" w:lineRule="auto"/>
        <w:ind w:left="510" w:hanging="510"/>
      </w:pPr>
      <w:r>
        <w:rPr>
          <w:rFonts w:ascii="Times New Roman" w:hAnsi="Times New Roman" w:eastAsia="宋体"/>
          <w:b/>
          <w:i w:val="0"/>
          <w:color w:val="10305A"/>
          <w:sz w:val="19"/>
        </w:rPr>
        <w:t xml:space="preserve">[54] </w:t>
      </w:r>
      <w:r>
        <w:rPr>
          <w:rFonts w:ascii="Times New Roman" w:hAnsi="Times New Roman" w:eastAsia="宋体"/>
          <w:b w:val="0"/>
          <w:i w:val="0"/>
          <w:color w:val="1F2937"/>
          <w:sz w:val="19"/>
        </w:rPr>
        <w:t>Membrane core-specific antimicrobial action of cathelicidin LL-37 peptide switches between pore and nanofibre formation. Scientific Reports. 2016;6:38184. DOI: 10.1038/srep38184.</w:t>
      </w:r>
    </w:p>
    <w:p>
      <w:pPr>
        <w:spacing w:after="60" w:line="300" w:lineRule="auto"/>
        <w:ind w:left="510" w:hanging="510"/>
      </w:pPr>
      <w:r>
        <w:rPr>
          <w:rFonts w:ascii="Times New Roman" w:hAnsi="Times New Roman" w:eastAsia="宋体"/>
          <w:b/>
          <w:i w:val="0"/>
          <w:color w:val="10305A"/>
          <w:sz w:val="19"/>
        </w:rPr>
        <w:t xml:space="preserve">[55] </w:t>
      </w:r>
      <w:r>
        <w:rPr>
          <w:rFonts w:ascii="Times New Roman" w:hAnsi="Times New Roman" w:eastAsia="宋体"/>
          <w:b w:val="0"/>
          <w:i w:val="0"/>
          <w:color w:val="1F2937"/>
          <w:sz w:val="19"/>
        </w:rPr>
        <w:t>Polymyxin-B as a novel inhibitor of amyloid beta aggregation: computational insights and experimental validation. Journal of Molecular Biology. 2025. Verify final bibliographic record before submission.</w:t>
      </w:r>
    </w:p>
    <w:p>
      <w:pPr>
        <w:spacing w:after="60" w:line="300" w:lineRule="auto"/>
        <w:ind w:left="510" w:hanging="510"/>
      </w:pPr>
      <w:r>
        <w:rPr>
          <w:rFonts w:ascii="Times New Roman" w:hAnsi="Times New Roman" w:eastAsia="宋体"/>
          <w:b/>
          <w:i w:val="0"/>
          <w:color w:val="10305A"/>
          <w:sz w:val="19"/>
        </w:rPr>
        <w:t xml:space="preserve">[56] </w:t>
      </w:r>
      <w:r>
        <w:rPr>
          <w:rFonts w:ascii="Times New Roman" w:hAnsi="Times New Roman" w:eastAsia="宋体"/>
          <w:b w:val="0"/>
          <w:i w:val="0"/>
          <w:color w:val="1F2937"/>
          <w:sz w:val="19"/>
        </w:rPr>
        <w:t>Identification of new pentapeptides as potential inhibitors of amyloid-beta42 aggregation using virtual screening and molecular dynamics simulations. Journal of Molecular Graphics and Modelling. 2023. Verify final bibliographic record before submission.</w:t>
      </w:r>
    </w:p>
    <w:p>
      <w:pPr>
        <w:spacing w:after="60" w:line="300" w:lineRule="auto"/>
        <w:ind w:left="510" w:hanging="510"/>
      </w:pPr>
      <w:r>
        <w:rPr>
          <w:rFonts w:ascii="Times New Roman" w:hAnsi="Times New Roman" w:eastAsia="宋体"/>
          <w:b/>
          <w:i w:val="0"/>
          <w:color w:val="10305A"/>
          <w:sz w:val="19"/>
        </w:rPr>
        <w:t xml:space="preserve">[57] </w:t>
      </w:r>
      <w:r>
        <w:rPr>
          <w:rFonts w:ascii="Times New Roman" w:hAnsi="Times New Roman" w:eastAsia="宋体"/>
          <w:b w:val="0"/>
          <w:i w:val="0"/>
          <w:color w:val="1F2937"/>
          <w:sz w:val="19"/>
        </w:rPr>
        <w:t>Chen S, Zhou Y, Chen Y, Gu J. fastp: an ultra-fast all-in-one FASTQ preprocessor. Bioinformatics. 2018;34(17):i884-i890.</w:t>
      </w:r>
    </w:p>
    <w:p>
      <w:pPr>
        <w:spacing w:after="60" w:line="300" w:lineRule="auto"/>
        <w:ind w:left="510" w:hanging="510"/>
      </w:pPr>
      <w:r>
        <w:rPr>
          <w:rFonts w:ascii="Times New Roman" w:hAnsi="Times New Roman" w:eastAsia="宋体"/>
          <w:b/>
          <w:i w:val="0"/>
          <w:color w:val="10305A"/>
          <w:sz w:val="19"/>
        </w:rPr>
        <w:t xml:space="preserve">[58] </w:t>
      </w:r>
      <w:r>
        <w:rPr>
          <w:rFonts w:ascii="Times New Roman" w:hAnsi="Times New Roman" w:eastAsia="宋体"/>
          <w:b w:val="0"/>
          <w:i w:val="0"/>
          <w:color w:val="1F2937"/>
          <w:sz w:val="19"/>
        </w:rPr>
        <w:t>Langmead B, Salzberg SL. Fast gapped-read alignment with Bowtie 2. Nat Methods. 2012;9(4):357-359.</w:t>
      </w:r>
    </w:p>
    <w:p>
      <w:pPr>
        <w:spacing w:after="60" w:line="300" w:lineRule="auto"/>
        <w:ind w:left="510" w:hanging="510"/>
      </w:pPr>
      <w:r>
        <w:rPr>
          <w:rFonts w:ascii="Times New Roman" w:hAnsi="Times New Roman" w:eastAsia="宋体"/>
          <w:b/>
          <w:i w:val="0"/>
          <w:color w:val="10305A"/>
          <w:sz w:val="19"/>
        </w:rPr>
        <w:t xml:space="preserve">[59] </w:t>
      </w:r>
      <w:r>
        <w:rPr>
          <w:rFonts w:ascii="Times New Roman" w:hAnsi="Times New Roman" w:eastAsia="宋体"/>
          <w:b w:val="0"/>
          <w:i w:val="0"/>
          <w:color w:val="1F2937"/>
          <w:sz w:val="19"/>
        </w:rPr>
        <w:t>Li D, Liu CM, Luo R, et al. MEGAHIT: an ultra-fast single-node solution for large and complex metagenomics assembly via succinct de Bruijn graph. Bioinformatics. 2015;31(10):1674-1676.</w:t>
      </w:r>
    </w:p>
    <w:p>
      <w:pPr>
        <w:spacing w:after="60" w:line="300" w:lineRule="auto"/>
        <w:ind w:left="510" w:hanging="510"/>
      </w:pPr>
      <w:r>
        <w:rPr>
          <w:rFonts w:ascii="Times New Roman" w:hAnsi="Times New Roman" w:eastAsia="宋体"/>
          <w:b/>
          <w:i w:val="0"/>
          <w:color w:val="10305A"/>
          <w:sz w:val="19"/>
        </w:rPr>
        <w:t xml:space="preserve">[60] </w:t>
      </w:r>
      <w:r>
        <w:rPr>
          <w:rFonts w:ascii="Times New Roman" w:hAnsi="Times New Roman" w:eastAsia="宋体"/>
          <w:b w:val="0"/>
          <w:i w:val="0"/>
          <w:color w:val="1F2937"/>
          <w:sz w:val="19"/>
        </w:rPr>
        <w:t>Nurk S, Meleshko D, Korobeynikov A, Pevzner PA. metaSPAdes: a new versatile metagenomic assembler. Genome Res. 2017;27(5):824-834.</w:t>
      </w:r>
    </w:p>
    <w:p>
      <w:pPr>
        <w:spacing w:after="60" w:line="300" w:lineRule="auto"/>
        <w:ind w:left="510" w:hanging="510"/>
      </w:pPr>
      <w:r>
        <w:rPr>
          <w:rFonts w:ascii="Times New Roman" w:hAnsi="Times New Roman" w:eastAsia="宋体"/>
          <w:b/>
          <w:i w:val="0"/>
          <w:color w:val="10305A"/>
          <w:sz w:val="19"/>
        </w:rPr>
        <w:t xml:space="preserve">[61] </w:t>
      </w:r>
      <w:r>
        <w:rPr>
          <w:rFonts w:ascii="Times New Roman" w:hAnsi="Times New Roman" w:eastAsia="宋体"/>
          <w:b w:val="0"/>
          <w:i w:val="0"/>
          <w:color w:val="1F2937"/>
          <w:sz w:val="19"/>
        </w:rPr>
        <w:t>Kang DD, Li F, Kirton E, et al. MetaBAT 2: an adaptive binning algorithm for robust and efficient genome reconstruction from metagenome assemblies. PeerJ. 2019;7:e7359.</w:t>
      </w:r>
    </w:p>
    <w:p>
      <w:pPr>
        <w:spacing w:after="60" w:line="300" w:lineRule="auto"/>
        <w:ind w:left="510" w:hanging="510"/>
      </w:pPr>
      <w:r>
        <w:rPr>
          <w:rFonts w:ascii="Times New Roman" w:hAnsi="Times New Roman" w:eastAsia="宋体"/>
          <w:b/>
          <w:i w:val="0"/>
          <w:color w:val="10305A"/>
          <w:sz w:val="19"/>
        </w:rPr>
        <w:t xml:space="preserve">[62] </w:t>
      </w:r>
      <w:r>
        <w:rPr>
          <w:rFonts w:ascii="Times New Roman" w:hAnsi="Times New Roman" w:eastAsia="宋体"/>
          <w:b w:val="0"/>
          <w:i w:val="0"/>
          <w:color w:val="1F2937"/>
          <w:sz w:val="19"/>
        </w:rPr>
        <w:t>Parks DH, Imelfort M, Skennerton CT, et al. CheckM: assessing the quality of microbial genomes recovered from isolates, single cells, and metagenomes. Genome Res. 2015;25(7):1043-1055.</w:t>
      </w:r>
    </w:p>
    <w:p>
      <w:pPr>
        <w:spacing w:after="60" w:line="300" w:lineRule="auto"/>
        <w:ind w:left="510" w:hanging="510"/>
      </w:pPr>
      <w:r>
        <w:rPr>
          <w:rFonts w:ascii="Times New Roman" w:hAnsi="Times New Roman" w:eastAsia="宋体"/>
          <w:b/>
          <w:i w:val="0"/>
          <w:color w:val="10305A"/>
          <w:sz w:val="19"/>
        </w:rPr>
        <w:t xml:space="preserve">[63] </w:t>
      </w:r>
      <w:r>
        <w:rPr>
          <w:rFonts w:ascii="Times New Roman" w:hAnsi="Times New Roman" w:eastAsia="宋体"/>
          <w:b w:val="0"/>
          <w:i w:val="0"/>
          <w:color w:val="1F2937"/>
          <w:sz w:val="19"/>
        </w:rPr>
        <w:t>Hyatt D, Chen GL, LoCascio PF, et al. Prodigal: prokaryotic gene recognition and translation initiation site identification. BMC Bioinformatics. 2010;11:119.</w:t>
      </w:r>
    </w:p>
    <w:p>
      <w:pPr>
        <w:spacing w:after="60" w:line="300" w:lineRule="auto"/>
        <w:ind w:left="510" w:hanging="510"/>
      </w:pPr>
      <w:r>
        <w:rPr>
          <w:rFonts w:ascii="Times New Roman" w:hAnsi="Times New Roman" w:eastAsia="宋体"/>
          <w:b/>
          <w:i w:val="0"/>
          <w:color w:val="10305A"/>
          <w:sz w:val="19"/>
        </w:rPr>
        <w:t xml:space="preserve">[64] </w:t>
      </w:r>
      <w:r>
        <w:rPr>
          <w:rFonts w:ascii="Times New Roman" w:hAnsi="Times New Roman" w:eastAsia="宋体"/>
          <w:b w:val="0"/>
          <w:i w:val="0"/>
          <w:color w:val="1F2937"/>
          <w:sz w:val="19"/>
        </w:rPr>
        <w:t>Li W, Godzik A. Cd-hit: a fast program for clustering and comparing large sets of protein or nucleotide sequences. Bioinformatics. 2006;22(13):1658-1659.</w:t>
      </w:r>
    </w:p>
    <w:p>
      <w:pPr>
        <w:spacing w:after="60" w:line="300" w:lineRule="auto"/>
        <w:ind w:left="510" w:hanging="510"/>
      </w:pPr>
      <w:r>
        <w:rPr>
          <w:rFonts w:ascii="Times New Roman" w:hAnsi="Times New Roman" w:eastAsia="宋体"/>
          <w:b/>
          <w:i w:val="0"/>
          <w:color w:val="10305A"/>
          <w:sz w:val="19"/>
        </w:rPr>
        <w:t xml:space="preserve">[65] </w:t>
      </w:r>
      <w:r>
        <w:rPr>
          <w:rFonts w:ascii="Times New Roman" w:hAnsi="Times New Roman" w:eastAsia="宋体"/>
          <w:b w:val="0"/>
          <w:i w:val="0"/>
          <w:color w:val="1F2937"/>
          <w:sz w:val="19"/>
        </w:rPr>
        <w:t>Lin H, Peddada SD. Multigroup analysis of compositions of microbiomes with covariate adjustments and repeated measures. Nat Methods. 2024;21:83-91.</w:t>
      </w:r>
    </w:p>
    <w:p>
      <w:pPr>
        <w:spacing w:after="60" w:line="300" w:lineRule="auto"/>
        <w:ind w:left="510" w:hanging="510"/>
      </w:pPr>
      <w:r>
        <w:rPr>
          <w:rFonts w:ascii="Times New Roman" w:hAnsi="Times New Roman" w:eastAsia="宋体"/>
          <w:b/>
          <w:i w:val="0"/>
          <w:color w:val="10305A"/>
          <w:sz w:val="19"/>
        </w:rPr>
        <w:t xml:space="preserve">[66] </w:t>
      </w:r>
      <w:r>
        <w:rPr>
          <w:rFonts w:ascii="Times New Roman" w:hAnsi="Times New Roman" w:eastAsia="宋体"/>
          <w:b w:val="0"/>
          <w:i w:val="0"/>
          <w:color w:val="1F2937"/>
          <w:sz w:val="19"/>
        </w:rPr>
        <w:t>Mallick H, Rahnavard A, McIver LJ, et al. Multivariable association discovery in population-scale meta-omics studies. PLoS Comput Biol. 2021;17(11):e1009442.</w:t>
      </w:r>
    </w:p>
    <w:p>
      <w:pPr>
        <w:spacing w:after="60" w:line="300" w:lineRule="auto"/>
        <w:ind w:left="510" w:hanging="510"/>
      </w:pPr>
      <w:r>
        <w:rPr>
          <w:rFonts w:ascii="Times New Roman" w:hAnsi="Times New Roman" w:eastAsia="宋体"/>
          <w:b/>
          <w:i w:val="0"/>
          <w:color w:val="10305A"/>
          <w:sz w:val="19"/>
        </w:rPr>
        <w:t xml:space="preserve">[67] </w:t>
      </w:r>
      <w:r>
        <w:rPr>
          <w:rFonts w:ascii="Times New Roman" w:hAnsi="Times New Roman" w:eastAsia="宋体"/>
          <w:b w:val="0"/>
          <w:i w:val="0"/>
          <w:color w:val="1F2937"/>
          <w:sz w:val="19"/>
        </w:rPr>
        <w:t>CHARMM-GUI LPS Modeler / Membrane Builder：革兰阴性外膜（粗糙型 LPS + lipid A + Mg2+）建模方法，见 CHARMM-GUI 系列方法文献.</w:t>
      </w:r>
    </w:p>
    <w:p>
      <w:pPr>
        <w:spacing w:after="60" w:line="300" w:lineRule="auto"/>
        <w:ind w:left="510" w:hanging="510"/>
      </w:pPr>
      <w:r>
        <w:rPr>
          <w:rFonts w:ascii="Times New Roman" w:hAnsi="Times New Roman" w:eastAsia="宋体"/>
          <w:b/>
          <w:i w:val="0"/>
          <w:color w:val="10305A"/>
          <w:sz w:val="19"/>
        </w:rPr>
        <w:t xml:space="preserve">[68] </w:t>
      </w:r>
      <w:r>
        <w:rPr>
          <w:rFonts w:ascii="Times New Roman" w:hAnsi="Times New Roman" w:eastAsia="宋体"/>
          <w:b w:val="0"/>
          <w:i w:val="0"/>
          <w:color w:val="1F2937"/>
          <w:sz w:val="19"/>
        </w:rPr>
        <w:t>A molecular dynamics study of antimicrobial peptide translocation across the outer membrane of Gram-negative bacteria. bioRxiv 2022.01.20.477041（约 8 μs 全原子 MD + 伞形采样；CM15 在 O-抗原区结合自由能约 -130 kJ/mol，核心糖-脂质 A 界面势垒约 150 kJ/mol）</w:t>
      </w:r>
    </w:p>
    <w:p>
      <w:pPr>
        <w:spacing w:after="60" w:line="300" w:lineRule="auto"/>
        <w:ind w:left="510" w:hanging="510"/>
      </w:pPr>
      <w:r>
        <w:rPr>
          <w:rFonts w:ascii="Times New Roman" w:hAnsi="Times New Roman" w:eastAsia="宋体"/>
          <w:b/>
          <w:i w:val="0"/>
          <w:color w:val="10305A"/>
          <w:sz w:val="19"/>
        </w:rPr>
        <w:t xml:space="preserve">[69] </w:t>
      </w:r>
      <w:r>
        <w:rPr>
          <w:rFonts w:ascii="Times New Roman" w:hAnsi="Times New Roman" w:eastAsia="宋体"/>
          <w:b w:val="0"/>
          <w:i w:val="0"/>
          <w:color w:val="1F2937"/>
          <w:sz w:val="19"/>
        </w:rPr>
        <w:t>Free energy of membrane pore formation and stability from molecular dynamics simulations. 2025. PMC11776052（CHARMM36 与 Martini 对比；伞形采样 + Full-Path CV）</w:t>
      </w:r>
    </w:p>
    <w:p>
      <w:pPr>
        <w:spacing w:after="60" w:line="300" w:lineRule="auto"/>
        <w:ind w:left="510" w:hanging="510"/>
      </w:pPr>
      <w:r>
        <w:rPr>
          <w:rFonts w:ascii="Times New Roman" w:hAnsi="Times New Roman" w:eastAsia="宋体"/>
          <w:b/>
          <w:i w:val="0"/>
          <w:color w:val="10305A"/>
          <w:sz w:val="19"/>
        </w:rPr>
        <w:t xml:space="preserve">[70] </w:t>
      </w:r>
      <w:r>
        <w:rPr>
          <w:rFonts w:ascii="Times New Roman" w:hAnsi="Times New Roman" w:eastAsia="宋体"/>
          <w:b w:val="0"/>
          <w:i w:val="0"/>
          <w:color w:val="1F2937"/>
          <w:sz w:val="19"/>
        </w:rPr>
        <w:t>Huang J, Rauscher S, Nawrocki G, et al. CHARMM36m: an improved force field for folded and intrinsically disordered proteins. Nat Methods. 2017;14(1):71-73.</w:t>
      </w:r>
    </w:p>
    <w:p>
      <w:pPr>
        <w:spacing w:after="60" w:line="300" w:lineRule="auto"/>
        <w:ind w:left="510" w:hanging="510"/>
      </w:pPr>
      <w:r>
        <w:rPr>
          <w:rFonts w:ascii="Times New Roman" w:hAnsi="Times New Roman" w:eastAsia="宋体"/>
          <w:b/>
          <w:i w:val="0"/>
          <w:color w:val="10305A"/>
          <w:sz w:val="19"/>
        </w:rPr>
        <w:t xml:space="preserve">[71] </w:t>
      </w:r>
      <w:r>
        <w:rPr>
          <w:rFonts w:ascii="Times New Roman" w:hAnsi="Times New Roman" w:eastAsia="宋体"/>
          <w:b w:val="0"/>
          <w:i w:val="0"/>
          <w:color w:val="1F2937"/>
          <w:sz w:val="19"/>
        </w:rPr>
        <w:t>Valdés-Tresanco MS, Valdés-Tresanco ME, Valiente PA, Moreno E. gmx_MMPBSA: a new tool to perform end-state free energy calculations with GROMACS. J Chem Theory Comput. 2021;17(10):6281-6291. DOI: 10.1021/acs.jctc.1c00645</w:t>
      </w:r>
    </w:p>
    <w:p>
      <w:pPr>
        <w:spacing w:after="60" w:line="300" w:lineRule="auto"/>
        <w:ind w:left="510" w:hanging="510"/>
      </w:pPr>
      <w:r>
        <w:rPr>
          <w:rFonts w:ascii="Times New Roman" w:hAnsi="Times New Roman" w:eastAsia="宋体"/>
          <w:b/>
          <w:i w:val="0"/>
          <w:color w:val="10305A"/>
          <w:sz w:val="19"/>
        </w:rPr>
        <w:t xml:space="preserve">[72] </w:t>
      </w:r>
      <w:r>
        <w:rPr>
          <w:rFonts w:ascii="Times New Roman" w:hAnsi="Times New Roman" w:eastAsia="宋体"/>
          <w:b w:val="0"/>
          <w:i w:val="0"/>
          <w:color w:val="1F2937"/>
          <w:sz w:val="19"/>
        </w:rPr>
        <w:t>In silico prediction and validation of the permeability of small molecules across the blood-brain barrier. Int J Mol Sci. 2026;27(3):1427（高温 MD + 自由能剖面 + 脂质接触分解）</w:t>
      </w:r>
    </w:p>
    <w:p>
      <w:pPr>
        <w:spacing w:after="60" w:line="300" w:lineRule="auto"/>
        <w:ind w:left="510" w:hanging="510"/>
      </w:pPr>
      <w:r>
        <w:rPr>
          <w:rFonts w:ascii="Times New Roman" w:hAnsi="Times New Roman" w:eastAsia="宋体"/>
          <w:b/>
          <w:i w:val="0"/>
          <w:color w:val="10305A"/>
          <w:sz w:val="19"/>
        </w:rPr>
        <w:t xml:space="preserve">[73] </w:t>
      </w:r>
      <w:r>
        <w:rPr>
          <w:rFonts w:ascii="Times New Roman" w:hAnsi="Times New Roman" w:eastAsia="宋体"/>
          <w:b w:val="0"/>
          <w:i w:val="0"/>
          <w:color w:val="1F2937"/>
          <w:sz w:val="19"/>
        </w:rPr>
        <w:t>Enhancing blood-brain barrier penetration prediction by machine learning-based integration of novel and existing, in silico and experimental molecular parameters from a standardized database. J Chem Inf Model. 2025. DOI: 10.1021/acs.jcim.4c02212</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