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特有抗菌肽筛选等主体工作，结果可信，进度与开题计划一致。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