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AD）是以进行性认知功能下降为主要临床表现的神经退行性疾病，其典型病理改变包括 β-淀粉样肽（Aβ）沉积、tau 蛋白异常磷酸化形成的神经纤维缠结，以及以小胶质细胞与星形胶质细胞活化为主的慢性神经炎症。随着人口老龄化程度加深，AD 的患病规模与照护负担持续上升，而已上市药物的作用以对症改善与延缓衰退为主，难以阻止病程进展，因此在既有病理通路之外寻找与疾病发生发展相关的效应分子与潜在干预靶点，具有明确的科学意义与临床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的发生发展并不局限于脑内病理改变，还与"肠—脑轴"介导的肠道微生物组改变密切相关。AD 患者与健康人群在菌群组成、多样性、短链脂肪酸生成能力与炎症相关菌群丰度等方面存在差异；菌群失衡可通过微生物代谢产物、肠屏障通透性改变、内毒素与细菌淀粉样蛋白进入循环，以及免疫细胞活化与神经信号通路等途径，影响中枢神经系统的炎症状态与血脑屏障功能，构成"外周—中枢"相互作用的重要环节。在这一框架下，"究竟哪一种微生物来源的分子在起作用"成为亟待回答的问题。</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本研究的意义体现在三个方面。其一，把抗菌肽研究从通用的序列预测推进到特定人群、特定病程阶段，为理解 AD 的微生物组机制提供候选分子与新的观察角度；其二，建立一套可复用的分析框架，即由宏基因组数据与参考集构建、短肽库构建、多模型共识预测、分阶段差异比较、表达证据去重与特有肽筛选、机制关联与活性验证组成的完整链条，该框架同样适用于其他疾病队列与微生物组研究；其三，通过对候选抗菌肽的发病机制关联分析与抑菌活性验证，为后续更深入的机制研究提供线索与起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以"微生物组—肠—脑轴"为核心的作用框架，涉及代谢产物、免疫调节与神经递质等多个环节。受样本来源、测序深度与临床信息完整度的限制，多数研究仍停留在菌群分类单元与功能通路的关联描述层面，能够落到具体效应分子及其作用机制的研究相对有限，菌群改变与 AD 病理之间的因果关系尚不清晰。在抗菌保护假说的推动下，Aβ 自身的抗菌活性及其与感染、免疫防御的关系受到关注，也提示需要把视野从 Aβ 扩展到更广泛的肽谱变化。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与预测工具已相对成熟，深度学习模型被广泛用于从基因组、宏基因组与蛋白质序列中识别具有抗菌潜力的肽段，注意力机制、长短期记忆网络与语言模型预训练等结构在不同任务中各有优势，从宏基因组短开放阅读框中大规模挖掘候选抗菌肽已经成为可行路径。相关研究也表明，预测得到的候选序列中相当一部分可在体外实验中表现出抑菌活性，为计算预测与实验验证相结合提供了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基因组上系统预测小开放阅读框，经长度筛选、去冗余与可信度过滤后，构建覆盖全队列的非冗余微生物源短肽库。库中每条序列均保留样本来源与基因组来源信息，使下游任何一条候选肽都能回溯到原始样本与序列，保证结果可复核、可复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人群与各疾病阶段，在统一的丰度与组成口径下比较各阶段与健康人群之间候选抗菌肽的差异，识别随病程变化明显的候选抗菌肽，并从组成结构、丰度变化趋势与阶段间差异模式等角度进行描述，为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发病机制的关联分析。参照乙酰胆碱酯酶—β-淀粉样肽复合物分子模拟研究的思路，从三个方向考察特有抗菌肽与 AD 发病机制的关联：与 β-淀粉样肽的相互作用及其对聚集与纤维化过程的影响；与乙酰胆碱酯酶外周阴离子位点结合、从而干扰成核环节的可能性；经免疫调节与炎症通路参与神经炎症的可能性。分析结果以结合情况、复合物稳定性与通路层面的解释为主，研究定位为线索发现。</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结果整理与论文撰写。将候选抗菌肽名单、分阶段差异结果、特有抗菌肽清单以及机制关联与抑菌实验结果汇总为完整的图表与结论体系，按学位论文规范完成学位论文撰写，并在此基础上整理投稿论文。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实施要点之一是数据口径的统一：所有样本采用同一套处理流程与参数口径，样本的临床分组信息与测序数据一一对应，避免因流程差异造成的批次效应；对于部分样本缺少可用参考基因组的情况，在丰度分析阶段采用全量基因组回填的方式恢复样本覆盖，并在结果中说明数据处理口径。另一个要点是证据层次的递进：预测结果先经模型间共识约束，再经蛋白层面的表达证据约束，最后以实验验证提供直接证据，形成由计算到实验、由弱到强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为保证可复现性，研究中的每一步处理均以脚本化方式实现，输入输出文件与中间结果分类留存，关键参数与版本信息记录在技术文档中；数据集、序列集合与候选清单均以标准格式保存，便于复核与在同类队列中迁移复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宏蛋白组表达证据二次去重与健康人群／各阶段特有抗菌肽筛选：已完成，已形成特有抗菌肽清单。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发病机制的关联分析：进行中，分析方案已确定，正在开展与 β-淀粉样肽聚集、乙酰胆碱酯酶结合以及免疫炎症通路相关的关联分析。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截至本次中期检查，课题整体进度与开题报告拟定的安排基本一致。已完成部分形成了较为完整的数据基础、方法流程与候选清单，后续工作的输入条件已经具备，不依赖新的数据生产，进度风险较小。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处理流程已完整脚本化，并整理为技术文档，记录了各步骤的输入输出、关键参数与结果文件组织结构。流程具备可重复性与可移植性：更换队列或疾病背景时，只需替换原始数据与临床分组信息即可复用，方法学上的通用性构成本课题的一项基础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候选名单已与短肽库的溯源信息建立关联，每条候选序列均可回溯到其来源样本与来源基因组；预测过程所生成的中间结果与统计信息一并留存，便于后续复算、核查以及在论文中说明方法学细节。</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从丰度变化与组成结构两个角度识别出随病程变化明显的候选抗菌肽，形成了阶段间可比较的差异结果。分析表明，候选抗菌肽的分布在疾病不同阶段呈现不同的变化模式，提示微生物源抗菌肽可能与病程进展存在关联。</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选出健康人群特有与各疾病阶段特有的抗菌肽，形成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特有肽清单同时具备可解释性与可验证性：一方面，清单中的序列携带完整的溯源信息与表达证据，结果链条清晰；另一方面，清单可直接作为机制关联分析与抑菌实验验证的输入，使计算分析与实验验证之间形成闭环。</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 β-淀粉样肽、乙酰胆碱酯酶外周阴离子位点的结合情况与复合物稳定性，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同时完成了候选抗菌肽抑菌实验的方案设计，明确了候选肽的选择原则、指示菌种类、初筛与定量方法、对照设置与判读标准。实验设计遵循通用、可复现的原则：采用纸片扩散法观察抑菌圈进行初筛，再以微量肉汤稀释法测定最低抑菌浓度，设置阳性对照与阴性对照并对每组设置重复；实验在常规微生物实验室条件下即可完成，不涉及复杂的动物实验或组学实验，与课题的时间安排相匹配。</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要形式：已形成完整可重复的分析流程与技术文档；已形成候选抗菌肽名单、分阶段差异分析结果以及健康人群特有与各阶段特有的抗菌肽清单；已完成机制关联分析与抑菌实验的方案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在此基础上完成学位论文，按培养计划参加预答辩与学位申请。若实验验证结果符合预期，将进一步补充机制讨论与验证证据，作为学位论文的组成部分。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β-淀粉样肽、乙酰胆碱酯酶外周阴离子位点的结合模式与复合物稳定性，重点关注其对 β-淀粉样肽聚集过程与成核环节的可能影响；同时结合文献比对与功能注释，从免疫调节与炎症通路角度分析候选肽可能参与的作用环节。分析过程中保留参数设置与轨迹分析结果，以保证结论可复核。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发病机制关联的分析结果，包括结合情况、稳定性评价与通路层面的解释；对证据较强的候选肽形成优先验证清单，为后续实验与论文讨论提供依据。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预期产出：候选抗菌肽抑菌活性的初步结果与活性—序列关系的初步观察，作为学位论文实验验证章节的主要内容，并为候选肽的后续深入研究提供筛选依据。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内容：完成全部结果的整理、学位论文撰写与投稿论文准备。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预期产出：完整的学位论文初稿与投稿论文初稿，并在此基础上按培养计划申请预答辩。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部分样本缺少可用的参考基因组。应对：在丰度分析阶段改用全量基因组回填，恢复样本覆盖，避免参考集筛选造成样本缺失；同时在方法部分说明数据处理口径，必要时补充敏感性分析以确认结论稳健。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实验验证与论文撰写在时间上存在并行压力。应对：严格控制候选肽数量与实验内容，优先完成初筛与最低抑菌浓度测定；实验与论文撰写并行推进，预留缓冲时间，确保按计划完成预答辩与学位申请。</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特有肽清单，结果可相互印证。完成实验后集中进行结果整理与补充分析，形成完整的图表体系与结论框架，并同步整理投稿论文的材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后期集中进行学位论文撰写与投稿论文修改，按培养计划完成预答辩与学位申请。各环节均以已完成的数据资源与分析流程为基础，不依赖新的数据生产，整体进度风险较小。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fldChar w:fldCharType="begin">
                <w:ffData>
                  <w:name w:val="文字2"/>
                  <w:enabled/>
                  <w:calcOnExit w:val="0"/>
                  <w:textInput/>
                </w:ffData>
              </w:fldChar>
            </w:r>
            <w:r>
              <w:rPr>
                <w:rFonts w:ascii="宋体" w:hAnsi="宋体"/>
                <w:color w:val="000000" w:themeColor="text1"/>
                <w:sz w:val="24"/>
                <w14:textFill>
                  <w14:solidFill>
                    <w14:schemeClr w14:val="tx1"/>
                  </w14:solidFill>
                </w14:textFill>
              </w:rPr>
              <w:instrText xml:space="preserve"> </w:instrText>
            </w:r>
            <w:r>
              <w:rPr>
                <w:rFonts w:hint="eastAsia" w:ascii="宋体" w:hAnsi="宋体"/>
                <w:color w:val="000000" w:themeColor="text1"/>
                <w:sz w:val="24"/>
                <w14:textFill>
                  <w14:solidFill>
                    <w14:schemeClr w14:val="tx1"/>
                  </w14:solidFill>
                </w14:textFill>
              </w:rPr>
              <w:instrText xml:space="preserve">FORMTEXT</w:instrText>
            </w:r>
            <w:r>
              <w:rPr>
                <w:rFonts w:ascii="宋体" w:hAnsi="宋体"/>
                <w:color w:val="000000" w:themeColor="text1"/>
                <w:sz w:val="24"/>
                <w14:textFill>
                  <w14:solidFill>
                    <w14:schemeClr w14:val="tx1"/>
                  </w14:solidFill>
                </w14:textFill>
              </w:rPr>
              <w:instrText xml:space="preserve"> </w:instrText>
            </w:r>
            <w:r>
              <w:rPr>
                <w:rFonts w:ascii="宋体" w:hAnsi="宋体"/>
                <w:color w:val="000000" w:themeColor="text1"/>
                <w:sz w:val="24"/>
                <w14:textFill>
                  <w14:solidFill>
                    <w14:schemeClr w14:val="tx1"/>
                  </w14:solidFill>
                </w14:textFill>
              </w:rPr>
              <w:fldChar w:fldCharType="separate"/>
            </w:r>
            <w:r>
              <w:rPr>
                <w:rFonts w:ascii="宋体" w:hAnsi="宋体"/>
                <w:color w:val="000000" w:themeColor="text1"/>
                <w:sz w:val="24"/>
                <w14:textFill>
                  <w14:solidFill>
                    <w14:schemeClr w14:val="tx1"/>
                  </w14:solidFill>
                </w14:textFill>
              </w:rPr>
              <w:t>     </w:t>
            </w:r>
            <w:r>
              <w:rPr>
                <w:rFonts w:ascii="宋体" w:hAnsi="宋体"/>
                <w:color w:val="000000" w:themeColor="text1"/>
                <w:sz w:val="24"/>
                <w14:textFill>
                  <w14:solidFill>
                    <w14:schemeClr w14:val="tx1"/>
                  </w14:solidFill>
                </w14:textFill>
              </w:rPr>
              <w:fldChar w:fldCharType="end"/>
            </w:r>
            <w:bookmarkStart w:id="1" w:name="_GoBack"/>
            <w:bookmarkEnd w:id="1"/>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