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24" w:lineRule="auto"/>
        <w:jc w:val="center"/>
      </w:pPr>
      <w:r>
        <w:rPr>
          <w:rFonts w:ascii="Times New Roman" w:hAnsi="Times New Roman"/>
          <w:b/>
          <w:i w:val="0"/>
          <w:color w:val="111111"/>
          <w:sz w:val="44"/>
          <w:eastAsia w:val="微软雅黑"/>
        </w:rPr>
        <w:t>抗菌肽与 AD 关联机制说明（总结版）</w:t>
      </w:r>
    </w:p>
    <w:p>
      <w:pPr>
        <w:spacing w:before="0" w:after="40" w:line="324" w:lineRule="auto"/>
        <w:jc w:val="center"/>
      </w:pPr>
      <w:r>
        <w:rPr>
          <w:rFonts w:ascii="Times New Roman" w:hAnsi="Times New Roman"/>
          <w:b w:val="0"/>
          <w:i w:val="0"/>
          <w:color w:val="2F5D62"/>
          <w:sz w:val="24"/>
          <w:eastAsia w:val="微软雅黑"/>
        </w:rPr>
        <w:t>总结版 · 七环逻辑链 + 三条致病轴 + 三个可检验假设</w:t>
      </w:r>
    </w:p>
    <w:p>
      <w:pPr>
        <w:spacing w:before="0" w:after="40" w:line="324" w:lineRule="auto"/>
        <w:jc w:val="center"/>
      </w:pPr>
      <w:r>
        <w:rPr>
          <w:rFonts w:ascii="Times New Roman" w:hAnsi="Times New Roman"/>
          <w:b w:val="0"/>
          <w:i w:val="0"/>
          <w:color w:val="777777"/>
          <w:sz w:val="21"/>
          <w:eastAsia w:val="微软雅黑"/>
        </w:rPr>
        <w:t>文绍华　2024110316　｜　指导教师：申亮　｜　生命科学学院　｜　2026 年 9 月</w:t>
      </w:r>
    </w:p>
    <w:p>
      <w:pPr>
        <w:spacing w:before="40" w:after="200"/>
        <w:pBdr>
          <w:bottom w:val="single" w:sz="8" w:color="B03A2E"/>
        </w:pBdr>
      </w:pPr>
    </w:p>
    <w:p>
      <w:pPr>
        <w:spacing w:before="0" w:after="160" w:line="324" w:lineRule="auto"/>
        <w:ind w:left="0"/>
        <w:jc w:val="left"/>
      </w:pPr>
      <w:r>
        <w:rPr>
          <w:rFonts w:ascii="Times New Roman" w:hAnsi="Times New Roman"/>
          <w:b w:val="0"/>
          <w:i/>
          <w:color w:val="777777"/>
          <w:sz w:val="19"/>
          <w:eastAsia w:val="微软雅黑"/>
        </w:rPr>
        <w:t>一句话版本：AD 的菌群失衡与肠屏障受损，使感染源与内毒素长期刺激宿主，抗菌肽与 Aβ 一起被持续诱导增多；</w:t>
      </w:r>
    </w:p>
    <w:p>
      <w:pPr>
        <w:spacing w:before="0" w:after="160" w:line="324" w:lineRule="auto"/>
        <w:ind w:left="0"/>
        <w:jc w:val="left"/>
      </w:pPr>
      <w:r>
        <w:rPr>
          <w:rFonts w:ascii="Times New Roman" w:hAnsi="Times New Roman"/>
          <w:b w:val="0"/>
          <w:i/>
          <w:color w:val="777777"/>
          <w:sz w:val="19"/>
          <w:eastAsia w:val="微软雅黑"/>
        </w:rPr>
        <w:t>本课题要验证的是其中</w:t>
      </w:r>
      <w:r>
        <w:rPr>
          <w:rFonts w:ascii="Times New Roman" w:hAnsi="Times New Roman"/>
          <w:b/>
          <w:i/>
          <w:color w:val="777777"/>
          <w:sz w:val="19"/>
          <w:eastAsia w:val="微软雅黑"/>
        </w:rPr>
        <w:t>致病的一侧</w:t>
      </w:r>
      <w:r>
        <w:rPr>
          <w:rFonts w:ascii="Times New Roman" w:hAnsi="Times New Roman"/>
          <w:b w:val="0"/>
          <w:i/>
          <w:color w:val="777777"/>
          <w:sz w:val="19"/>
          <w:eastAsia w:val="微软雅黑"/>
        </w:rPr>
        <w:t>——筛出的 AD 特异性特有肽是否像文献里的 LL-37 与细菌淀粉样蛋白那样，</w:t>
      </w:r>
    </w:p>
    <w:p>
      <w:pPr>
        <w:spacing w:before="0" w:after="160" w:line="324" w:lineRule="auto"/>
        <w:ind w:left="0"/>
        <w:jc w:val="left"/>
      </w:pPr>
      <w:r>
        <w:rPr>
          <w:rFonts w:ascii="Times New Roman" w:hAnsi="Times New Roman"/>
          <w:b w:val="0"/>
          <w:i/>
          <w:color w:val="777777"/>
          <w:sz w:val="19"/>
          <w:eastAsia w:val="微软雅黑"/>
        </w:rPr>
        <w:t>促进 Aβ 成核与聚集、放大神经炎症；抗菌活性是这类肽的本职功能，不作为“抑制 AD”的结论。</w:t>
      </w:r>
    </w:p>
    <w:p>
      <w:pPr>
        <w:spacing w:before="280" w:after="120" w:line="324" w:lineRule="auto"/>
        <w:jc w:val="left"/>
      </w:pPr>
      <w:r>
        <w:rPr>
          <w:rFonts w:ascii="Times New Roman" w:hAnsi="Times New Roman"/>
          <w:b/>
          <w:i w:val="0"/>
          <w:color w:val="111111"/>
          <w:sz w:val="28"/>
          <w:eastAsia w:val="微软雅黑"/>
        </w:rPr>
        <w:t>一、总逻辑：七环链</w:t>
      </w:r>
    </w:p>
    <w:p>
      <w:pPr>
        <w:spacing w:before="0" w:after="60" w:line="312" w:lineRule="auto"/>
        <w:ind w:left="360" w:hanging="360"/>
        <w:jc w:val="left"/>
      </w:pPr>
      <w:r>
        <w:rPr>
          <w:rFonts w:ascii="Times New Roman" w:hAnsi="Times New Roman"/>
          <w:b w:val="0"/>
          <w:i w:val="0"/>
          <w:color w:val="333333"/>
          <w:sz w:val="22"/>
          <w:eastAsia w:val="微软雅黑"/>
        </w:rPr>
        <w:t>1. AD 与感染相关：按人群归因分数，HSV-1、慢性牙周炎、肺炎衣原体分别约 13.5%、19.4%、31%，合计 31%—51.9% [16]。</w:t>
      </w:r>
    </w:p>
    <w:p>
      <w:pPr>
        <w:spacing w:before="0" w:after="60" w:line="312" w:lineRule="auto"/>
        <w:ind w:left="360" w:hanging="360"/>
        <w:jc w:val="left"/>
      </w:pPr>
      <w:r>
        <w:rPr>
          <w:rFonts w:ascii="Times New Roman" w:hAnsi="Times New Roman"/>
          <w:b w:val="0"/>
          <w:i w:val="0"/>
          <w:color w:val="333333"/>
          <w:sz w:val="22"/>
          <w:eastAsia w:val="微软雅黑"/>
        </w:rPr>
        <w:t>2. 感染与炎症驱动抗菌肽与 Aβ 生成：Aβ 本身就是抗菌肽（脑匀浆抗菌活性 AD 组高于同龄对照，抗 Aβ 抗体清除后活性消失）[1]。</w:t>
      </w:r>
    </w:p>
    <w:p>
      <w:pPr>
        <w:spacing w:before="0" w:after="60" w:line="312" w:lineRule="auto"/>
        <w:ind w:left="360" w:hanging="360"/>
        <w:jc w:val="left"/>
      </w:pPr>
      <w:r>
        <w:rPr>
          <w:rFonts w:ascii="Times New Roman" w:hAnsi="Times New Roman"/>
          <w:b w:val="0"/>
          <w:i w:val="0"/>
          <w:color w:val="333333"/>
          <w:sz w:val="22"/>
          <w:eastAsia w:val="微软雅黑"/>
        </w:rPr>
        <w:t>3. 抗菌活性可以从宏基因组序列预测：本课题用注意力机制、LSTM 与语言模型三模型独立预测、取一致阳性。</w:t>
      </w:r>
    </w:p>
    <w:p>
      <w:pPr>
        <w:spacing w:before="0" w:after="60" w:line="312" w:lineRule="auto"/>
        <w:ind w:left="360" w:hanging="360"/>
        <w:jc w:val="left"/>
      </w:pPr>
      <w:r>
        <w:rPr>
          <w:rFonts w:ascii="Times New Roman" w:hAnsi="Times New Roman"/>
          <w:b w:val="0"/>
          <w:i w:val="0"/>
          <w:color w:val="333333"/>
          <w:sz w:val="22"/>
          <w:eastAsia w:val="微软雅黑"/>
        </w:rPr>
        <w:t>4. AD 特异性特有肽随认知阶段变化：本课题按 NC/SCS/SCD/MCI/AD 分阶段比较差异，并以宏蛋白组表达证据二次去重。</w:t>
      </w:r>
    </w:p>
    <w:p>
      <w:pPr>
        <w:spacing w:before="0" w:after="60" w:line="312" w:lineRule="auto"/>
        <w:ind w:left="360" w:hanging="360"/>
        <w:jc w:val="left"/>
      </w:pPr>
      <w:r>
        <w:rPr>
          <w:rFonts w:ascii="Times New Roman" w:hAnsi="Times New Roman"/>
          <w:b w:val="0"/>
          <w:i w:val="0"/>
          <w:color w:val="333333"/>
          <w:sz w:val="22"/>
          <w:eastAsia w:val="微软雅黑"/>
        </w:rPr>
        <w:t>5. 为什么 AD 组更多：炎症—Aβ—抗菌肽正反馈（下面第二节的三条轴）。</w:t>
      </w:r>
    </w:p>
    <w:p>
      <w:pPr>
        <w:spacing w:before="0" w:after="60" w:line="312" w:lineRule="auto"/>
        <w:ind w:left="360" w:hanging="360"/>
        <w:jc w:val="left"/>
      </w:pPr>
      <w:r>
        <w:rPr>
          <w:rFonts w:ascii="Times New Roman" w:hAnsi="Times New Roman"/>
          <w:b w:val="0"/>
          <w:i w:val="0"/>
          <w:color w:val="333333"/>
          <w:sz w:val="22"/>
          <w:eastAsia w:val="微软雅黑"/>
        </w:rPr>
        <w:t>6. 关键问题：微生物源抗菌肽是否经 AChE–Aβ 界面推动 AD 病理（致病方向）。</w:t>
      </w:r>
    </w:p>
    <w:p>
      <w:pPr>
        <w:spacing w:before="0" w:after="60" w:line="312" w:lineRule="auto"/>
        <w:ind w:left="360" w:hanging="360"/>
        <w:jc w:val="left"/>
      </w:pPr>
      <w:r>
        <w:rPr>
          <w:rFonts w:ascii="Times New Roman" w:hAnsi="Times New Roman"/>
          <w:b w:val="0"/>
          <w:i w:val="0"/>
          <w:color w:val="333333"/>
          <w:sz w:val="22"/>
          <w:eastAsia w:val="微软雅黑"/>
        </w:rPr>
        <w:t>7. 分子层面的依据：见第三节（动力学与交叉成核）。</w:t>
      </w:r>
    </w:p>
    <w:p>
      <w:pPr>
        <w:spacing w:before="120" w:after="40" w:line="32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24179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1_关联逻辑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7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24" w:lineRule="auto"/>
        <w:jc w:val="center"/>
      </w:pPr>
      <w:r>
        <w:rPr>
          <w:rFonts w:ascii="Times New Roman" w:hAnsi="Times New Roman"/>
          <w:b w:val="0"/>
          <w:i w:val="0"/>
          <w:color w:val="777777"/>
          <w:sz w:val="19"/>
          <w:eastAsia w:val="微软雅黑"/>
        </w:rPr>
        <w:t>图 1　抗菌肽与 AD 关联的七环逻辑链（颜色表示证据强度：蓝=已有实验/临床证据，绿=计算与文献比对可给出关联线索，橙=本课题要回答/需验证）</w:t>
      </w:r>
    </w:p>
    <w:p>
      <w:pPr>
        <w:spacing w:before="280" w:after="120" w:line="324" w:lineRule="auto"/>
        <w:jc w:val="left"/>
      </w:pPr>
      <w:r>
        <w:rPr>
          <w:rFonts w:ascii="Times New Roman" w:hAnsi="Times New Roman"/>
          <w:b/>
          <w:i w:val="0"/>
          <w:color w:val="111111"/>
          <w:sz w:val="28"/>
          <w:eastAsia w:val="微软雅黑"/>
        </w:rPr>
        <w:t>二、三条致病轴（都有直接文献证据）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952"/>
            <w:shd w:val="clear" w:fill="F2F2F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color w:val="111111"/>
                <w:sz w:val="19"/>
                <w:eastAsia w:val="微软雅黑"/>
              </w:rPr>
              <w:t>分子</w:t>
            </w:r>
          </w:p>
        </w:tc>
        <w:tc>
          <w:tcPr>
            <w:tcW w:type="dxa" w:w="1512"/>
            <w:shd w:val="clear" w:fill="F2F2F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color w:val="111111"/>
                <w:sz w:val="19"/>
                <w:eastAsia w:val="微软雅黑"/>
              </w:rPr>
              <w:t>在 AD 中的方向</w:t>
            </w:r>
          </w:p>
        </w:tc>
        <w:tc>
          <w:tcPr>
            <w:tcW w:type="dxa" w:w="5904"/>
            <w:shd w:val="clear" w:fill="F2F2F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color w:val="111111"/>
                <w:sz w:val="19"/>
                <w:eastAsia w:val="微软雅黑"/>
              </w:rPr>
              <w:t>标本 / 部位</w:t>
            </w:r>
          </w:p>
        </w:tc>
        <w:tc>
          <w:tcPr>
            <w:tcW w:type="dxa" w:w="1224"/>
            <w:shd w:val="clear" w:fill="F2F2F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color w:val="111111"/>
                <w:sz w:val="19"/>
                <w:eastAsia w:val="微软雅黑"/>
              </w:rPr>
              <w:t>文献</w:t>
            </w:r>
          </w:p>
        </w:tc>
      </w:tr>
      <w:tr>
        <w:tc>
          <w:tcPr>
            <w:tcW w:type="dxa" w:w="29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111111"/>
                <w:sz w:val="19"/>
                <w:eastAsia w:val="微软雅黑"/>
              </w:rPr>
              <w:t>LL-37（cathelicidin）</w:t>
            </w:r>
          </w:p>
        </w:tc>
        <w:tc>
          <w:tcPr>
            <w:tcW w:type="dxa" w:w="151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  <w:eastAsia w:val="微软雅黑"/>
              </w:rPr>
              <w:t>升高</w:t>
            </w:r>
          </w:p>
        </w:tc>
        <w:tc>
          <w:tcPr>
            <w:tcW w:type="dxa" w:w="590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  <w:eastAsia w:val="微软雅黑"/>
              </w:rPr>
              <w:t>AD 脑组织；血清高者认知下降更快</w:t>
            </w:r>
          </w:p>
        </w:tc>
        <w:tc>
          <w:tcPr>
            <w:tcW w:type="dxa" w:w="122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  <w:eastAsia w:val="微软雅黑"/>
              </w:rPr>
              <w:t>[6][7][42]</w:t>
            </w:r>
          </w:p>
        </w:tc>
      </w:tr>
      <w:tr>
        <w:tc>
          <w:tcPr>
            <w:tcW w:type="dxa" w:w="29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111111"/>
                <w:sz w:val="19"/>
                <w:eastAsia w:val="微软雅黑"/>
              </w:rPr>
              <w:t>β-防御素-1（hBD-1）</w:t>
            </w:r>
          </w:p>
        </w:tc>
        <w:tc>
          <w:tcPr>
            <w:tcW w:type="dxa" w:w="151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  <w:eastAsia w:val="微软雅黑"/>
              </w:rPr>
              <w:t>升高</w:t>
            </w:r>
          </w:p>
        </w:tc>
        <w:tc>
          <w:tcPr>
            <w:tcW w:type="dxa" w:w="590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  <w:eastAsia w:val="微软雅黑"/>
              </w:rPr>
              <w:t>AD 脑海马星形胶质细胞、神经元、脉络丛</w:t>
            </w:r>
          </w:p>
        </w:tc>
        <w:tc>
          <w:tcPr>
            <w:tcW w:type="dxa" w:w="122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  <w:eastAsia w:val="微软雅黑"/>
              </w:rPr>
              <w:t>[8][10]</w:t>
            </w:r>
          </w:p>
        </w:tc>
      </w:tr>
      <w:tr>
        <w:tc>
          <w:tcPr>
            <w:tcW w:type="dxa" w:w="29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111111"/>
                <w:sz w:val="19"/>
                <w:eastAsia w:val="微软雅黑"/>
              </w:rPr>
              <w:t>β-防御素-2（hBD-2）</w:t>
            </w:r>
          </w:p>
        </w:tc>
        <w:tc>
          <w:tcPr>
            <w:tcW w:type="dxa" w:w="151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  <w:eastAsia w:val="微软雅黑"/>
              </w:rPr>
              <w:t>升高</w:t>
            </w:r>
          </w:p>
        </w:tc>
        <w:tc>
          <w:tcPr>
            <w:tcW w:type="dxa" w:w="590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  <w:eastAsia w:val="微软雅黑"/>
              </w:rPr>
              <w:t>AD 血清与脑脊液</w:t>
            </w:r>
          </w:p>
        </w:tc>
        <w:tc>
          <w:tcPr>
            <w:tcW w:type="dxa" w:w="122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  <w:eastAsia w:val="微软雅黑"/>
              </w:rPr>
              <w:t>[10]</w:t>
            </w:r>
          </w:p>
        </w:tc>
      </w:tr>
      <w:tr>
        <w:tc>
          <w:tcPr>
            <w:tcW w:type="dxa" w:w="29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111111"/>
                <w:sz w:val="19"/>
                <w:eastAsia w:val="微软雅黑"/>
              </w:rPr>
              <w:t>α-防御素 1—4</w:t>
            </w:r>
          </w:p>
        </w:tc>
        <w:tc>
          <w:tcPr>
            <w:tcW w:type="dxa" w:w="151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  <w:eastAsia w:val="微软雅黑"/>
              </w:rPr>
              <w:t>升高</w:t>
            </w:r>
          </w:p>
        </w:tc>
        <w:tc>
          <w:tcPr>
            <w:tcW w:type="dxa" w:w="590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  <w:eastAsia w:val="微软雅黑"/>
              </w:rPr>
              <w:t>AD 唾液、血液、血清、脑脊液</w:t>
            </w:r>
          </w:p>
        </w:tc>
        <w:tc>
          <w:tcPr>
            <w:tcW w:type="dxa" w:w="122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  <w:eastAsia w:val="微软雅黑"/>
              </w:rPr>
              <w:t>[10]</w:t>
            </w:r>
          </w:p>
        </w:tc>
      </w:tr>
      <w:tr>
        <w:tc>
          <w:tcPr>
            <w:tcW w:type="dxa" w:w="29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111111"/>
                <w:sz w:val="19"/>
                <w:eastAsia w:val="微软雅黑"/>
              </w:rPr>
              <w:t>CAP37（AZU1）</w:t>
            </w:r>
          </w:p>
        </w:tc>
        <w:tc>
          <w:tcPr>
            <w:tcW w:type="dxa" w:w="151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  <w:eastAsia w:val="微软雅黑"/>
              </w:rPr>
              <w:t>升高</w:t>
            </w:r>
          </w:p>
        </w:tc>
        <w:tc>
          <w:tcPr>
            <w:tcW w:type="dxa" w:w="590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  <w:eastAsia w:val="微软雅黑"/>
              </w:rPr>
              <w:t>AD 颞叶/顶叶皮层锥体神经元（可被 TNF-α 与 Aβ 诱导）</w:t>
            </w:r>
          </w:p>
        </w:tc>
        <w:tc>
          <w:tcPr>
            <w:tcW w:type="dxa" w:w="122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  <w:eastAsia w:val="微软雅黑"/>
              </w:rPr>
              <w:t>[9]</w:t>
            </w:r>
          </w:p>
        </w:tc>
      </w:tr>
      <w:tr>
        <w:tc>
          <w:tcPr>
            <w:tcW w:type="dxa" w:w="29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111111"/>
                <w:sz w:val="19"/>
                <w:eastAsia w:val="微软雅黑"/>
              </w:rPr>
              <w:t>组氨基素 1、富酪蛋白、胸腺素 β4</w:t>
            </w:r>
          </w:p>
        </w:tc>
        <w:tc>
          <w:tcPr>
            <w:tcW w:type="dxa" w:w="151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  <w:eastAsia w:val="微软雅黑"/>
              </w:rPr>
              <w:t>升高</w:t>
            </w:r>
          </w:p>
        </w:tc>
        <w:tc>
          <w:tcPr>
            <w:tcW w:type="dxa" w:w="590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  <w:eastAsia w:val="微软雅黑"/>
              </w:rPr>
              <w:t>AD 唾液蛋白组</w:t>
            </w:r>
          </w:p>
        </w:tc>
        <w:tc>
          <w:tcPr>
            <w:tcW w:type="dxa" w:w="122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  <w:eastAsia w:val="微软雅黑"/>
              </w:rPr>
              <w:t>[10]</w:t>
            </w:r>
          </w:p>
        </w:tc>
      </w:tr>
      <w:tr>
        <w:tc>
          <w:tcPr>
            <w:tcW w:type="dxa" w:w="29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111111"/>
                <w:sz w:val="19"/>
                <w:eastAsia w:val="微软雅黑"/>
              </w:rPr>
              <w:t>Aβ42（本身即抗菌肽）</w:t>
            </w:r>
          </w:p>
        </w:tc>
        <w:tc>
          <w:tcPr>
            <w:tcW w:type="dxa" w:w="151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  <w:eastAsia w:val="微软雅黑"/>
              </w:rPr>
              <w:t>升高</w:t>
            </w:r>
          </w:p>
        </w:tc>
        <w:tc>
          <w:tcPr>
            <w:tcW w:type="dxa" w:w="590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  <w:eastAsia w:val="微软雅黑"/>
              </w:rPr>
              <w:t>AD 脑匀浆抗菌活性高于同龄对照</w:t>
            </w:r>
          </w:p>
        </w:tc>
        <w:tc>
          <w:tcPr>
            <w:tcW w:type="dxa" w:w="122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  <w:eastAsia w:val="微软雅黑"/>
              </w:rPr>
              <w:t>[1]</w:t>
            </w:r>
          </w:p>
        </w:tc>
      </w:tr>
      <w:tr>
        <w:tc>
          <w:tcPr>
            <w:tcW w:type="dxa" w:w="29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111111"/>
                <w:sz w:val="19"/>
                <w:eastAsia w:val="微软雅黑"/>
              </w:rPr>
              <w:t>乳铁蛋白</w:t>
            </w:r>
          </w:p>
        </w:tc>
        <w:tc>
          <w:tcPr>
            <w:tcW w:type="dxa" w:w="151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  <w:eastAsia w:val="微软雅黑"/>
              </w:rPr>
              <w:t>降低</w:t>
            </w:r>
          </w:p>
        </w:tc>
        <w:tc>
          <w:tcPr>
            <w:tcW w:type="dxa" w:w="590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  <w:eastAsia w:val="微软雅黑"/>
              </w:rPr>
              <w:t>AD 唾液（早中期即下降，诊断 AUC 0.93—0.95）</w:t>
            </w:r>
          </w:p>
        </w:tc>
        <w:tc>
          <w:tcPr>
            <w:tcW w:type="dxa" w:w="122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  <w:eastAsia w:val="微软雅黑"/>
              </w:rPr>
              <w:t>[43][44]</w:t>
            </w:r>
          </w:p>
        </w:tc>
      </w:tr>
      <w:tr>
        <w:tc>
          <w:tcPr>
            <w:tcW w:type="dxa" w:w="295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111111"/>
                <w:sz w:val="19"/>
                <w:eastAsia w:val="微软雅黑"/>
              </w:rPr>
              <w:t>铁调素、胱抑素 C</w:t>
            </w:r>
          </w:p>
        </w:tc>
        <w:tc>
          <w:tcPr>
            <w:tcW w:type="dxa" w:w="151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  <w:eastAsia w:val="微软雅黑"/>
              </w:rPr>
              <w:t>降低</w:t>
            </w:r>
          </w:p>
        </w:tc>
        <w:tc>
          <w:tcPr>
            <w:tcW w:type="dxa" w:w="590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  <w:eastAsia w:val="微软雅黑"/>
              </w:rPr>
              <w:t>AD 血清/脑脊液</w:t>
            </w:r>
          </w:p>
        </w:tc>
        <w:tc>
          <w:tcPr>
            <w:tcW w:type="dxa" w:w="122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color w:val="333333"/>
                <w:sz w:val="19"/>
                <w:eastAsia w:val="微软雅黑"/>
              </w:rPr>
              <w:t>[10][43]</w:t>
            </w:r>
          </w:p>
        </w:tc>
      </w:tr>
    </w:tbl>
    <w:p>
      <w:pPr>
        <w:spacing w:before="0" w:after="200" w:line="324" w:lineRule="auto"/>
        <w:jc w:val="left"/>
      </w:pPr>
    </w:p>
    <w:p>
      <w:pPr>
        <w:spacing w:before="0" w:after="60" w:line="312" w:lineRule="auto"/>
        <w:ind w:left="360" w:hanging="230"/>
        <w:jc w:val="left"/>
      </w:pPr>
      <w:r>
        <w:rPr>
          <w:rFonts w:ascii="Times New Roman" w:hAnsi="Times New Roman"/>
          <w:b w:val="0"/>
          <w:i w:val="0"/>
          <w:color w:val="777777"/>
          <w:sz w:val="22"/>
          <w:eastAsia w:val="微软雅黑"/>
        </w:rPr>
        <w:t xml:space="preserve">· </w:t>
      </w:r>
      <w:r>
        <w:rPr>
          <w:rFonts w:ascii="Times New Roman" w:hAnsi="Times New Roman"/>
          <w:b w:val="0"/>
          <w:i w:val="0"/>
          <w:color w:val="333333"/>
          <w:sz w:val="22"/>
          <w:eastAsia w:val="微软雅黑"/>
        </w:rPr>
        <w:t>宿主抗菌肽：LL-37 经 CLIC1 引起小胶质过度活化，小鼠与猴模型出现 Aβ42 升高、tau 病理与脑萎缩 [6]；LL-37 与 Aβ40 形成异源寡聚体与团簇，在抑制长纤维的同时生成毒性更强的聚集体 [53]；AD 患者血清与脑脊液中 hBD-2、HNP1-3 升高 [55]；血清高 LL-37 者两年内 MMSE 下降 ≥3 分的比值比为 2.11 [42]。</w:t>
      </w:r>
    </w:p>
    <w:p>
      <w:pPr>
        <w:spacing w:before="0" w:after="60" w:line="312" w:lineRule="auto"/>
        <w:ind w:left="360" w:hanging="230"/>
        <w:jc w:val="left"/>
      </w:pPr>
      <w:r>
        <w:rPr>
          <w:rFonts w:ascii="Times New Roman" w:hAnsi="Times New Roman"/>
          <w:b w:val="0"/>
          <w:i w:val="0"/>
          <w:color w:val="777777"/>
          <w:sz w:val="22"/>
          <w:eastAsia w:val="微软雅黑"/>
        </w:rPr>
        <w:t xml:space="preserve">· </w:t>
      </w:r>
      <w:r>
        <w:rPr>
          <w:rFonts w:ascii="Times New Roman" w:hAnsi="Times New Roman"/>
          <w:b w:val="0"/>
          <w:i w:val="0"/>
          <w:color w:val="333333"/>
          <w:sz w:val="22"/>
          <w:eastAsia w:val="微软雅黑"/>
        </w:rPr>
        <w:t>细菌淀粉样蛋白：FapC 片段作为催化表面加速 Aβ 纤维化，并在斑马鱼中加重 Aβ 沉积、突触丢失与行为损害 [47]；CsgA 的 steric zipper 与人类病理纤维同构，CsgA 种子加速 Aβ1—40 纤维化 [48]；AD 模型小鼠肠内 curli 与 TLR2 升高并伴迷走神经激活 [51]；FapC 与 CsgA 混合种子把人源小胶质“预激活”，加重对旁观神经元的毒性 [52]；人粪便来源的生物膜相关淀粉样蛋白在 AD/PD 患者中更丰富并参与 Aβ 成核 [58]。</w:t>
      </w:r>
    </w:p>
    <w:p>
      <w:pPr>
        <w:spacing w:before="0" w:after="60" w:line="312" w:lineRule="auto"/>
        <w:ind w:left="360" w:hanging="230"/>
        <w:jc w:val="left"/>
      </w:pPr>
      <w:r>
        <w:rPr>
          <w:rFonts w:ascii="Times New Roman" w:hAnsi="Times New Roman"/>
          <w:b w:val="0"/>
          <w:i w:val="0"/>
          <w:color w:val="777777"/>
          <w:sz w:val="22"/>
          <w:eastAsia w:val="微软雅黑"/>
        </w:rPr>
        <w:t xml:space="preserve">· </w:t>
      </w:r>
      <w:r>
        <w:rPr>
          <w:rFonts w:ascii="Times New Roman" w:hAnsi="Times New Roman"/>
          <w:b w:val="0"/>
          <w:i w:val="0"/>
          <w:color w:val="333333"/>
          <w:sz w:val="22"/>
          <w:eastAsia w:val="微软雅黑"/>
        </w:rPr>
        <w:t>内毒素与炎症：LPS 缩短成核滞后期、加速 Aβ 纤维化 [49]；单次腹腔注射 LPS 后，大鼠脑内可溶性 Aβ 升高，皮层 Aβ 斑块与 p-tau 在 7—9 天内进行性增加 [50]。</w:t>
      </w:r>
    </w:p>
    <w:p>
      <w:pPr>
        <w:spacing w:before="280" w:after="120" w:line="324" w:lineRule="auto"/>
        <w:jc w:val="left"/>
      </w:pPr>
      <w:r>
        <w:rPr>
          <w:rFonts w:ascii="Times New Roman" w:hAnsi="Times New Roman"/>
          <w:b/>
          <w:i w:val="0"/>
          <w:color w:val="111111"/>
          <w:sz w:val="28"/>
          <w:eastAsia w:val="微软雅黑"/>
        </w:rPr>
        <w:t>三、致病方向的分子机制（本课题的落点）</w:t>
      </w:r>
    </w:p>
    <w:p>
      <w:pPr>
        <w:spacing w:before="0" w:after="120" w:line="324" w:lineRule="auto"/>
        <w:jc w:val="left"/>
      </w:pPr>
      <w:r>
        <w:rPr>
          <w:rFonts w:ascii="Times New Roman" w:hAnsi="Times New Roman"/>
          <w:b w:val="0"/>
          <w:i w:val="0"/>
          <w:color w:val="333333"/>
          <w:sz w:val="22"/>
          <w:eastAsia w:val="微软雅黑"/>
        </w:rPr>
        <w:t>参照 AChE–Aβ 复合物的分子动力学研究：Aβ 对接进 AChE 的外周阴离子位点（PAS）后，复合物在 1 μs 模拟中保持稳定，Aβ 在 AChE 表面的主要停留区段为 344—361，该区段紧邻 PAS 但不受双位点抑制剂的空间位阻 [31]——这正是候选抗菌肽最可能介入的界面。该界面另有独立实验证据：AChE 经 PAS 促进 Aβ 由 α-螺旋向 β-折叠转变并加速纤维生成 [32][33]；PAS 抑制剂丙锭可阻断该效应，而催化位点抑制剂无效 [33]；PAS 的高负电荷密度是触发构象转变的原因 [34]；与之相反，丁酰胆碱酯酶结合可溶态 Aβ 反而延缓纤维形成，说明界面性质决定方向 [35]。</w:t>
      </w:r>
    </w:p>
    <w:p>
      <w:pPr>
        <w:spacing w:before="0" w:after="120" w:line="324" w:lineRule="auto"/>
        <w:jc w:val="left"/>
      </w:pPr>
      <w:r>
        <w:rPr>
          <w:rFonts w:ascii="Times New Roman" w:hAnsi="Times New Roman"/>
          <w:b w:val="0"/>
          <w:i w:val="0"/>
          <w:color w:val="333333"/>
          <w:sz w:val="22"/>
          <w:eastAsia w:val="微软雅黑"/>
        </w:rPr>
        <w:t>肽与淀粉样肽在结构上兼容（都倾向形成 β-折叠），可以发生交叉成核，方向由界面与浓度决定：既有“加速”的例子，也有“抑制、改变纤维形态”的例子 [36][37]；结构兼容、定向成核不对称、表面催化这三条机制解释了文献中相互矛盾的结果 [36]。</w:t>
      </w:r>
    </w:p>
    <w:p>
      <w:pPr>
        <w:spacing w:before="200" w:after="80" w:line="324" w:lineRule="auto"/>
        <w:jc w:val="left"/>
      </w:pPr>
      <w:r>
        <w:rPr>
          <w:rFonts w:ascii="Times New Roman" w:hAnsi="Times New Roman"/>
          <w:b/>
          <w:i w:val="0"/>
          <w:color w:val="2F5D62"/>
          <w:sz w:val="25"/>
          <w:eastAsia w:val="微软雅黑"/>
        </w:rPr>
        <w:t>三个可检验假设（统一按致病方向表述）</w:t>
      </w:r>
    </w:p>
    <w:p>
      <w:pPr>
        <w:spacing w:before="0" w:after="60" w:line="312" w:lineRule="auto"/>
        <w:ind w:left="360" w:hanging="230"/>
        <w:jc w:val="left"/>
      </w:pPr>
      <w:r>
        <w:rPr>
          <w:rFonts w:ascii="Times New Roman" w:hAnsi="Times New Roman"/>
          <w:b w:val="0"/>
          <w:i w:val="0"/>
          <w:color w:val="777777"/>
          <w:sz w:val="22"/>
          <w:eastAsia w:val="微软雅黑"/>
        </w:rPr>
        <w:t xml:space="preserve">· </w:t>
      </w:r>
      <w:r>
        <w:rPr>
          <w:rFonts w:ascii="Times New Roman" w:hAnsi="Times New Roman"/>
          <w:b w:val="0"/>
          <w:i w:val="0"/>
          <w:color w:val="333333"/>
          <w:sz w:val="22"/>
          <w:eastAsia w:val="微软雅黑"/>
        </w:rPr>
        <w:t>H1：结合 PAS 与 344—361 区段，作为 Aβ 的停靠界面，促进 AChE 诱导的成核与聚集。</w:t>
      </w:r>
    </w:p>
    <w:p>
      <w:pPr>
        <w:spacing w:before="0" w:after="60" w:line="312" w:lineRule="auto"/>
        <w:ind w:left="360" w:hanging="230"/>
        <w:jc w:val="left"/>
      </w:pPr>
      <w:r>
        <w:rPr>
          <w:rFonts w:ascii="Times New Roman" w:hAnsi="Times New Roman"/>
          <w:b w:val="0"/>
          <w:i w:val="0"/>
          <w:color w:val="777777"/>
          <w:sz w:val="22"/>
          <w:eastAsia w:val="微软雅黑"/>
        </w:rPr>
        <w:t xml:space="preserve">· </w:t>
      </w:r>
      <w:r>
        <w:rPr>
          <w:rFonts w:ascii="Times New Roman" w:hAnsi="Times New Roman"/>
          <w:b w:val="0"/>
          <w:i w:val="0"/>
          <w:color w:val="333333"/>
          <w:sz w:val="22"/>
          <w:eastAsia w:val="微软雅黑"/>
        </w:rPr>
        <w:t>H2：直接结合 Aβ 的淀粉样生成区，以模板或表面催化加速纤维化，或把产物推向更毒的寡聚体。</w:t>
      </w:r>
    </w:p>
    <w:p>
      <w:pPr>
        <w:spacing w:before="0" w:after="60" w:line="312" w:lineRule="auto"/>
        <w:ind w:left="360" w:hanging="230"/>
        <w:jc w:val="left"/>
      </w:pPr>
      <w:r>
        <w:rPr>
          <w:rFonts w:ascii="Times New Roman" w:hAnsi="Times New Roman"/>
          <w:b w:val="0"/>
          <w:i w:val="0"/>
          <w:color w:val="777777"/>
          <w:sz w:val="22"/>
          <w:eastAsia w:val="微软雅黑"/>
        </w:rPr>
        <w:t xml:space="preserve">· </w:t>
      </w:r>
      <w:r>
        <w:rPr>
          <w:rFonts w:ascii="Times New Roman" w:hAnsi="Times New Roman"/>
          <w:b w:val="0"/>
          <w:i w:val="0"/>
          <w:color w:val="333333"/>
          <w:sz w:val="22"/>
          <w:eastAsia w:val="微软雅黑"/>
        </w:rPr>
        <w:t>H3：在膜与小胶质水平放大炎症信号（TLR/NF-κB、IL-6/TNF-α），推动神经炎症。</w:t>
      </w:r>
    </w:p>
    <w:p>
      <w:pPr>
        <w:spacing w:before="0" w:after="120" w:line="324" w:lineRule="auto"/>
        <w:jc w:val="left"/>
      </w:pPr>
      <w:r>
        <w:rPr>
          <w:rFonts w:ascii="Times New Roman" w:hAnsi="Times New Roman"/>
          <w:b w:val="0"/>
          <w:i w:val="0"/>
          <w:color w:val="333333"/>
          <w:sz w:val="22"/>
          <w:eastAsia w:val="微软雅黑"/>
        </w:rPr>
        <w:t>验证顺序：先用对接与分子动力学判断 AD 特异性特有肽与 AD 的关联方向，再用 ThT 聚集动力学、电镜形态与细胞毒性实验给证据；抑菌实验作为本职功能的对照，与之并行。</w:t>
      </w:r>
    </w:p>
    <w:p>
      <w:pPr>
        <w:spacing w:before="280" w:after="120" w:line="324" w:lineRule="auto"/>
        <w:jc w:val="left"/>
      </w:pPr>
      <w:r>
        <w:rPr>
          <w:rFonts w:ascii="Times New Roman" w:hAnsi="Times New Roman"/>
          <w:b/>
          <w:i w:val="0"/>
          <w:color w:val="111111"/>
          <w:sz w:val="28"/>
          <w:eastAsia w:val="微软雅黑"/>
        </w:rPr>
        <w:t>四、边界（不能过度解读的地方）</w:t>
      </w:r>
    </w:p>
    <w:p>
      <w:pPr>
        <w:spacing w:before="0" w:after="60" w:line="312" w:lineRule="auto"/>
        <w:ind w:left="360" w:hanging="230"/>
        <w:jc w:val="left"/>
      </w:pPr>
      <w:r>
        <w:rPr>
          <w:rFonts w:ascii="Times New Roman" w:hAnsi="Times New Roman"/>
          <w:b w:val="0"/>
          <w:i w:val="0"/>
          <w:color w:val="777777"/>
          <w:sz w:val="22"/>
          <w:eastAsia w:val="微软雅黑"/>
        </w:rPr>
        <w:t xml:space="preserve">· </w:t>
      </w:r>
      <w:r>
        <w:rPr>
          <w:rFonts w:ascii="Times New Roman" w:hAnsi="Times New Roman"/>
          <w:b w:val="0"/>
          <w:i w:val="0"/>
          <w:color w:val="333333"/>
          <w:sz w:val="22"/>
          <w:eastAsia w:val="微软雅黑"/>
        </w:rPr>
        <w:t>方向不能一概而论：同一家族中 HNP-1、NP-3A 在等摩尔比下完全抑制 Aβ 纤维化 [56]；LL-37 在某些体系中抑制长纤维，却把平衡推向低分子量寡聚体 [57]。</w:t>
      </w:r>
    </w:p>
    <w:p>
      <w:pPr>
        <w:spacing w:before="0" w:after="60" w:line="312" w:lineRule="auto"/>
        <w:ind w:left="360" w:hanging="230"/>
        <w:jc w:val="left"/>
      </w:pPr>
      <w:r>
        <w:rPr>
          <w:rFonts w:ascii="Times New Roman" w:hAnsi="Times New Roman"/>
          <w:b w:val="0"/>
          <w:i w:val="0"/>
          <w:color w:val="777777"/>
          <w:sz w:val="22"/>
          <w:eastAsia w:val="微软雅黑"/>
        </w:rPr>
        <w:t xml:space="preserve">· </w:t>
      </w:r>
      <w:r>
        <w:rPr>
          <w:rFonts w:ascii="Times New Roman" w:hAnsi="Times New Roman"/>
          <w:b w:val="0"/>
          <w:i w:val="0"/>
          <w:color w:val="333333"/>
          <w:sz w:val="22"/>
          <w:eastAsia w:val="微软雅黑"/>
        </w:rPr>
        <w:t>计算不等于因果：对接与动力学只能说“关联线索”，体内外实验才能说“已有证据”，不能写成“证明因果”。</w:t>
      </w:r>
    </w:p>
    <w:p>
      <w:pPr>
        <w:spacing w:before="0" w:after="60" w:line="312" w:lineRule="auto"/>
        <w:ind w:left="360" w:hanging="230"/>
        <w:jc w:val="left"/>
      </w:pPr>
      <w:r>
        <w:rPr>
          <w:rFonts w:ascii="Times New Roman" w:hAnsi="Times New Roman"/>
          <w:b w:val="0"/>
          <w:i w:val="0"/>
          <w:color w:val="777777"/>
          <w:sz w:val="22"/>
          <w:eastAsia w:val="微软雅黑"/>
        </w:rPr>
        <w:t xml:space="preserve">· </w:t>
      </w:r>
      <w:r>
        <w:rPr>
          <w:rFonts w:ascii="Times New Roman" w:hAnsi="Times New Roman"/>
          <w:b w:val="0"/>
          <w:i w:val="0"/>
          <w:color w:val="333333"/>
          <w:sz w:val="22"/>
          <w:eastAsia w:val="微软雅黑"/>
        </w:rPr>
        <w:t>“AD 组抗菌肽更多”是文献支持的预期方向，但也存在例外（乳铁蛋白等下降），必须按分子、部位、阶段分别表述。</w:t>
      </w:r>
    </w:p>
    <w:p>
      <w:pPr>
        <w:spacing w:before="0" w:after="60" w:line="312" w:lineRule="auto"/>
        <w:ind w:left="360" w:hanging="230"/>
        <w:jc w:val="left"/>
      </w:pPr>
      <w:r>
        <w:rPr>
          <w:rFonts w:ascii="Times New Roman" w:hAnsi="Times New Roman"/>
          <w:b w:val="0"/>
          <w:i w:val="0"/>
          <w:color w:val="777777"/>
          <w:sz w:val="22"/>
          <w:eastAsia w:val="微软雅黑"/>
        </w:rPr>
        <w:t xml:space="preserve">· </w:t>
      </w:r>
      <w:r>
        <w:rPr>
          <w:rFonts w:ascii="Times New Roman" w:hAnsi="Times New Roman"/>
          <w:b w:val="0"/>
          <w:i w:val="0"/>
          <w:color w:val="333333"/>
          <w:sz w:val="22"/>
          <w:eastAsia w:val="微软雅黑"/>
        </w:rPr>
        <w:t>微生物源抗菌肽参与宿主病理目前仍是假设：已有直接先例的是细菌淀粉样蛋白与内毒素 [47][48][49]，候选肽这一层要靠本课题的动力学与实验去填。</w:t>
      </w:r>
    </w:p>
    <w:p>
      <w:pPr>
        <w:spacing w:before="280" w:after="120" w:line="324" w:lineRule="auto"/>
        <w:jc w:val="left"/>
      </w:pPr>
      <w:r>
        <w:rPr>
          <w:rFonts w:ascii="Times New Roman" w:hAnsi="Times New Roman"/>
          <w:b/>
          <w:i w:val="0"/>
          <w:color w:val="111111"/>
          <w:sz w:val="28"/>
          <w:eastAsia w:val="微软雅黑"/>
        </w:rPr>
        <w:t>五、汇报口径三条</w:t>
      </w:r>
    </w:p>
    <w:p>
      <w:pPr>
        <w:spacing w:before="0" w:after="60" w:line="312" w:lineRule="auto"/>
        <w:ind w:left="360" w:hanging="360"/>
        <w:jc w:val="left"/>
      </w:pPr>
      <w:r>
        <w:rPr>
          <w:rFonts w:ascii="Times New Roman" w:hAnsi="Times New Roman"/>
          <w:b w:val="0"/>
          <w:i w:val="0"/>
          <w:color w:val="333333"/>
          <w:sz w:val="22"/>
          <w:eastAsia w:val="微软雅黑"/>
        </w:rPr>
        <w:t>1. 方向统一按致病写：不说“抑制 AD”，抗菌活性只作为本职功能 [6][47][49][52]。</w:t>
      </w:r>
    </w:p>
    <w:p>
      <w:pPr>
        <w:spacing w:before="0" w:after="60" w:line="312" w:lineRule="auto"/>
        <w:ind w:left="360" w:hanging="360"/>
        <w:jc w:val="left"/>
      </w:pPr>
      <w:r>
        <w:rPr>
          <w:rFonts w:ascii="Times New Roman" w:hAnsi="Times New Roman"/>
          <w:b w:val="0"/>
          <w:i w:val="0"/>
          <w:color w:val="333333"/>
          <w:sz w:val="22"/>
          <w:eastAsia w:val="微软雅黑"/>
        </w:rPr>
        <w:t>2. 强度分级：体内外实验说“已有证据”，对接与动力学说“计算预测 / 关联线索”。</w:t>
      </w:r>
    </w:p>
    <w:p>
      <w:pPr>
        <w:spacing w:before="0" w:after="60" w:line="312" w:lineRule="auto"/>
        <w:ind w:left="360" w:hanging="360"/>
        <w:jc w:val="left"/>
      </w:pPr>
      <w:r>
        <w:rPr>
          <w:rFonts w:ascii="Times New Roman" w:hAnsi="Times New Roman"/>
          <w:b w:val="0"/>
          <w:i w:val="0"/>
          <w:color w:val="333333"/>
          <w:sz w:val="22"/>
          <w:eastAsia w:val="微软雅黑"/>
        </w:rPr>
        <w:t>3. 讲数量差异一定说清是哪一层：宿主来源还是微生物来源、局部还是系统、总体活性还是具体肽、哪个阶段。</w:t>
      </w:r>
    </w:p>
    <w:p>
      <w:pPr>
        <w:spacing w:before="0" w:after="160" w:line="324" w:lineRule="auto"/>
        <w:ind w:left="0"/>
        <w:jc w:val="left"/>
      </w:pPr>
      <w:r>
        <w:rPr>
          <w:rFonts w:ascii="Times New Roman" w:hAnsi="Times New Roman"/>
          <w:b w:val="0"/>
          <w:i/>
          <w:color w:val="777777"/>
          <w:sz w:val="19"/>
          <w:eastAsia w:val="微软雅黑"/>
        </w:rPr>
        <w:t>完整版（八个问题逐条作答、分阶段证据表、动力学文献表与 60 条参考文献）见 deliverable/抗菌肽与AD关联机制说明.docx。</w:t>
      </w:r>
    </w:p>
    <w:p>
      <w:pPr>
        <w:spacing w:before="320" w:after="120" w:line="324" w:lineRule="auto"/>
        <w:jc w:val="left"/>
      </w:pPr>
      <w:r>
        <w:rPr>
          <w:rFonts w:ascii="Times New Roman" w:hAnsi="Times New Roman"/>
          <w:b/>
          <w:i w:val="0"/>
          <w:color w:val="111111"/>
          <w:sz w:val="28"/>
          <w:eastAsia w:val="微软雅黑"/>
        </w:rPr>
        <w:t>参考文献</w:t>
      </w:r>
    </w:p>
    <w:p>
      <w:pPr>
        <w:spacing w:before="0" w:after="40" w:line="283" w:lineRule="auto"/>
        <w:ind w:left="432" w:hanging="432"/>
        <w:jc w:val="left"/>
      </w:pPr>
      <w:r>
        <w:rPr>
          <w:rFonts w:ascii="Times New Roman" w:hAnsi="Times New Roman"/>
          <w:b/>
          <w:i w:val="0"/>
          <w:color w:val="111111"/>
          <w:sz w:val="19"/>
          <w:eastAsia w:val="微软雅黑"/>
        </w:rPr>
        <w:t xml:space="preserve">[1] </w:t>
      </w:r>
      <w:r>
        <w:rPr>
          <w:rFonts w:ascii="Times New Roman" w:hAnsi="Times New Roman"/>
          <w:b w:val="0"/>
          <w:i w:val="0"/>
          <w:color w:val="333333"/>
          <w:sz w:val="19"/>
          <w:eastAsia w:val="微软雅黑"/>
        </w:rPr>
        <w:t>Soscia SJ, Kirby JE, Washicosky KJ, et al. The Alzheimer's disease-associated amyloid β-protein is an antimicrobial peptide. PLoS ONE, 2010, 5(3): e9505. doi:10.1371/journal.pone.0009505</w:t>
      </w:r>
    </w:p>
    <w:p>
      <w:pPr>
        <w:spacing w:before="0" w:after="40" w:line="283" w:lineRule="auto"/>
        <w:ind w:left="432" w:hanging="432"/>
        <w:jc w:val="left"/>
      </w:pPr>
      <w:r>
        <w:rPr>
          <w:rFonts w:ascii="Times New Roman" w:hAnsi="Times New Roman"/>
          <w:b/>
          <w:i w:val="0"/>
          <w:color w:val="111111"/>
          <w:sz w:val="19"/>
          <w:eastAsia w:val="微软雅黑"/>
        </w:rPr>
        <w:t xml:space="preserve">[6] </w:t>
      </w:r>
      <w:r>
        <w:rPr>
          <w:rFonts w:ascii="Times New Roman" w:hAnsi="Times New Roman"/>
          <w:b w:val="0"/>
          <w:i w:val="0"/>
          <w:color w:val="333333"/>
          <w:sz w:val="19"/>
          <w:eastAsia w:val="微软雅黑"/>
        </w:rPr>
        <w:t>Chen X, Deng S, Wang W, et al. Human antimicrobial peptide LL-37 contributes to Alzheimer's disease progression. Mol Psychiatry, 2022, 27(11): 4790-4799. doi:10.1038/s41380-022-01790-6</w:t>
      </w:r>
    </w:p>
    <w:p>
      <w:pPr>
        <w:spacing w:before="0" w:after="40" w:line="283" w:lineRule="auto"/>
        <w:ind w:left="432" w:hanging="432"/>
        <w:jc w:val="left"/>
      </w:pPr>
      <w:r>
        <w:rPr>
          <w:rFonts w:ascii="Times New Roman" w:hAnsi="Times New Roman"/>
          <w:b/>
          <w:i w:val="0"/>
          <w:color w:val="111111"/>
          <w:sz w:val="19"/>
          <w:eastAsia w:val="微软雅黑"/>
        </w:rPr>
        <w:t xml:space="preserve">[16] </w:t>
      </w:r>
      <w:r>
        <w:rPr>
          <w:rFonts w:ascii="Times New Roman" w:hAnsi="Times New Roman"/>
          <w:b w:val="0"/>
          <w:i w:val="0"/>
          <w:color w:val="333333"/>
          <w:sz w:val="19"/>
          <w:eastAsia w:val="微软雅黑"/>
        </w:rPr>
        <w:t>Beyond association: a quantitative analysis of the infectious burden in Alzheimer's disease. 2026. PMC13291386（人群归因分数：HSV-1 约 13.5%、慢性牙周炎约 19.4%、C. pneumoniae 约 31%；三者合计 31%—51.9%）</w:t>
      </w:r>
    </w:p>
    <w:p>
      <w:pPr>
        <w:spacing w:before="0" w:after="40" w:line="283" w:lineRule="auto"/>
        <w:ind w:left="432" w:hanging="432"/>
        <w:jc w:val="left"/>
      </w:pPr>
      <w:r>
        <w:rPr>
          <w:rFonts w:ascii="Times New Roman" w:hAnsi="Times New Roman"/>
          <w:b/>
          <w:i w:val="0"/>
          <w:color w:val="111111"/>
          <w:sz w:val="19"/>
          <w:eastAsia w:val="微软雅黑"/>
        </w:rPr>
        <w:t xml:space="preserve">[31] </w:t>
      </w:r>
      <w:r>
        <w:rPr>
          <w:rFonts w:ascii="Times New Roman" w:hAnsi="Times New Roman"/>
          <w:b w:val="0"/>
          <w:i w:val="0"/>
          <w:color w:val="333333"/>
          <w:sz w:val="19"/>
          <w:eastAsia w:val="微软雅黑"/>
        </w:rPr>
        <w:t>Atanasova M, Dimitrov I, Ivanov S. Molecular dynamics simulations of acetylcholinesterase – beta-amyloid peptide complex. Cybernetics and Information Technologies, 2020, 20(6): 140-154. doi:10.2478/cait-2020-0068（1 μs 模拟，复合物稳定；Aβ 主要停留区段为 AChE 344—361）</w:t>
      </w:r>
    </w:p>
    <w:p>
      <w:pPr>
        <w:spacing w:before="0" w:after="40" w:line="283" w:lineRule="auto"/>
        <w:ind w:left="432" w:hanging="432"/>
        <w:jc w:val="left"/>
      </w:pPr>
      <w:r>
        <w:rPr>
          <w:rFonts w:ascii="Times New Roman" w:hAnsi="Times New Roman"/>
          <w:b/>
          <w:i w:val="0"/>
          <w:color w:val="111111"/>
          <w:sz w:val="19"/>
          <w:eastAsia w:val="微软雅黑"/>
        </w:rPr>
        <w:t xml:space="preserve">[32] </w:t>
      </w:r>
      <w:r>
        <w:rPr>
          <w:rFonts w:ascii="Times New Roman" w:hAnsi="Times New Roman"/>
          <w:b w:val="0"/>
          <w:i w:val="0"/>
          <w:color w:val="333333"/>
          <w:sz w:val="19"/>
          <w:eastAsia w:val="微软雅黑"/>
        </w:rPr>
        <w:t>De Ferrari GV, Canales MA, Shin I, et al. A structural motif of acetylcholinesterase that promotes amyloid β-peptide fibril formation. Biochemistry, 2001, 40(35): 10447-10457. doi:10.1021/bi0101392（对接给出四处 AChE–Aβ 结合位点，疏水肽段可被掺入生长中的纤维）</w:t>
      </w:r>
    </w:p>
    <w:p>
      <w:pPr>
        <w:spacing w:before="0" w:after="40" w:line="283" w:lineRule="auto"/>
        <w:ind w:left="432" w:hanging="432"/>
        <w:jc w:val="left"/>
      </w:pPr>
      <w:r>
        <w:rPr>
          <w:rFonts w:ascii="Times New Roman" w:hAnsi="Times New Roman"/>
          <w:b/>
          <w:i w:val="0"/>
          <w:color w:val="111111"/>
          <w:sz w:val="19"/>
          <w:eastAsia w:val="微软雅黑"/>
        </w:rPr>
        <w:t xml:space="preserve">[33] </w:t>
      </w:r>
      <w:r>
        <w:rPr>
          <w:rFonts w:ascii="Times New Roman" w:hAnsi="Times New Roman"/>
          <w:b w:val="0"/>
          <w:i w:val="0"/>
          <w:color w:val="333333"/>
          <w:sz w:val="19"/>
          <w:eastAsia w:val="微软雅黑"/>
        </w:rPr>
        <w:t>Inestrosa NC, Dinamarca MC, Alvarez A. Amyloid–cholinesterase interactions. FEBS J, 2008, 275(4): 625-632. doi:10.1111/j.1742-4658.2007.06238.x（PAS 抑制剂丙锭可阻断 AChE 促聚集效应，催化位点抑制剂无此作用；丁酰胆碱酯酶反而延缓纤维形成）</w:t>
      </w:r>
    </w:p>
    <w:p>
      <w:pPr>
        <w:spacing w:before="0" w:after="40" w:line="283" w:lineRule="auto"/>
        <w:ind w:left="432" w:hanging="432"/>
        <w:jc w:val="left"/>
      </w:pPr>
      <w:r>
        <w:rPr>
          <w:rFonts w:ascii="Times New Roman" w:hAnsi="Times New Roman"/>
          <w:b/>
          <w:i w:val="0"/>
          <w:color w:val="111111"/>
          <w:sz w:val="19"/>
          <w:eastAsia w:val="微软雅黑"/>
        </w:rPr>
        <w:t xml:space="preserve">[34] </w:t>
      </w:r>
      <w:r>
        <w:rPr>
          <w:rFonts w:ascii="Times New Roman" w:hAnsi="Times New Roman"/>
          <w:b w:val="0"/>
          <w:i w:val="0"/>
          <w:color w:val="333333"/>
          <w:sz w:val="19"/>
          <w:eastAsia w:val="微软雅黑"/>
        </w:rPr>
        <w:t>A new motif in the N-terminal of acetylcholinesterase triggers amyloid-β aggregation and deposition. 2019. PMC6493010（PAS 的高负电荷密度可经静电作用把 Aβ 由 α-螺旋推向β-发夹；AChE 7—20 肽段同样可促进聚集）</w:t>
      </w:r>
    </w:p>
    <w:p>
      <w:pPr>
        <w:spacing w:before="0" w:after="40" w:line="283" w:lineRule="auto"/>
        <w:ind w:left="432" w:hanging="432"/>
        <w:jc w:val="left"/>
      </w:pPr>
      <w:r>
        <w:rPr>
          <w:rFonts w:ascii="Times New Roman" w:hAnsi="Times New Roman"/>
          <w:b/>
          <w:i w:val="0"/>
          <w:color w:val="111111"/>
          <w:sz w:val="19"/>
          <w:eastAsia w:val="微软雅黑"/>
        </w:rPr>
        <w:t xml:space="preserve">[35] </w:t>
      </w:r>
      <w:r>
        <w:rPr>
          <w:rFonts w:ascii="Times New Roman" w:hAnsi="Times New Roman"/>
          <w:b w:val="0"/>
          <w:i w:val="0"/>
          <w:color w:val="333333"/>
          <w:sz w:val="19"/>
          <w:eastAsia w:val="微软雅黑"/>
        </w:rPr>
        <w:t>Rees T, Hammond PI, Soreq H, Younkin S, Brimijoin S. Butyrylcholinesterase attenuates amyloid fibril formation in vitro. PNAS, 2006, 103(23): 8783-8788. doi:10.1073/pnas.0602922103</w:t>
      </w:r>
    </w:p>
    <w:p>
      <w:pPr>
        <w:spacing w:before="0" w:after="40" w:line="283" w:lineRule="auto"/>
        <w:ind w:left="432" w:hanging="432"/>
        <w:jc w:val="left"/>
      </w:pPr>
      <w:r>
        <w:rPr>
          <w:rFonts w:ascii="Times New Roman" w:hAnsi="Times New Roman"/>
          <w:b/>
          <w:i w:val="0"/>
          <w:color w:val="111111"/>
          <w:sz w:val="19"/>
          <w:eastAsia w:val="微软雅黑"/>
        </w:rPr>
        <w:t xml:space="preserve">[36] </w:t>
      </w:r>
      <w:r>
        <w:rPr>
          <w:rFonts w:ascii="Times New Roman" w:hAnsi="Times New Roman"/>
          <w:b w:val="0"/>
          <w:i w:val="0"/>
          <w:color w:val="333333"/>
          <w:sz w:val="19"/>
          <w:eastAsia w:val="微软雅黑"/>
        </w:rPr>
        <w:t>Zheng J, et al. Antimicrobial peptides as cross-seeding modulators at the neurodegenerative–infectious interface. Research, 2026. doi:10.34133/research.1149（三条机制：结构兼容、定向成核不对称、表面催化；并提出病原—淀粉样正反馈环）</w:t>
      </w:r>
    </w:p>
    <w:p>
      <w:pPr>
        <w:spacing w:before="0" w:after="40" w:line="283" w:lineRule="auto"/>
        <w:ind w:left="432" w:hanging="432"/>
        <w:jc w:val="left"/>
      </w:pPr>
      <w:r>
        <w:rPr>
          <w:rFonts w:ascii="Times New Roman" w:hAnsi="Times New Roman"/>
          <w:b/>
          <w:i w:val="0"/>
          <w:color w:val="111111"/>
          <w:sz w:val="19"/>
          <w:eastAsia w:val="微软雅黑"/>
        </w:rPr>
        <w:t xml:space="preserve">[37] </w:t>
      </w:r>
      <w:r>
        <w:rPr>
          <w:rFonts w:ascii="Times New Roman" w:hAnsi="Times New Roman"/>
          <w:b w:val="0"/>
          <w:i w:val="0"/>
          <w:color w:val="333333"/>
          <w:sz w:val="19"/>
          <w:eastAsia w:val="微软雅黑"/>
        </w:rPr>
        <w:t>Exploring pathological link between antimicrobial and amyloid peptides. Chem Soc Rev, 2024. doi:10.1039/D3CS00878A（交叉成核可加速、抑制或改变纤维形态；中性粒细胞弹性蛋白酶与组织蛋白酶 G 可切割 Aβ42，CAP37 则以淬灭方式抑制）</w:t>
      </w:r>
    </w:p>
    <w:p>
      <w:pPr>
        <w:spacing w:before="0" w:after="40" w:line="283" w:lineRule="auto"/>
        <w:ind w:left="432" w:hanging="432"/>
        <w:jc w:val="left"/>
      </w:pPr>
      <w:r>
        <w:rPr>
          <w:rFonts w:ascii="Times New Roman" w:hAnsi="Times New Roman"/>
          <w:b/>
          <w:i w:val="0"/>
          <w:color w:val="111111"/>
          <w:sz w:val="19"/>
          <w:eastAsia w:val="微软雅黑"/>
        </w:rPr>
        <w:t xml:space="preserve">[42] </w:t>
      </w:r>
      <w:r>
        <w:rPr>
          <w:rFonts w:ascii="Times New Roman" w:hAnsi="Times New Roman"/>
          <w:b w:val="0"/>
          <w:i w:val="0"/>
          <w:color w:val="333333"/>
          <w:sz w:val="19"/>
          <w:eastAsia w:val="微软雅黑"/>
        </w:rPr>
        <w:t>Associations of serum antimicrobial peptide LL-37 with longitudinal cognitive decline and neurodegeneration among older adults with memory complaints. J Alzheimers Dis, 2023. doi:10.3233/JAD-230007（高 LL-37 组 MMSE 下降 ≥3 分的 OR 为 2.11，NfL 与 pTau181 上升更快）</w:t>
      </w:r>
    </w:p>
    <w:p>
      <w:pPr>
        <w:spacing w:before="0" w:after="40" w:line="283" w:lineRule="auto"/>
        <w:ind w:left="432" w:hanging="432"/>
        <w:jc w:val="left"/>
      </w:pPr>
      <w:r>
        <w:rPr>
          <w:rFonts w:ascii="Times New Roman" w:hAnsi="Times New Roman"/>
          <w:b/>
          <w:i w:val="0"/>
          <w:color w:val="111111"/>
          <w:sz w:val="19"/>
          <w:eastAsia w:val="微软雅黑"/>
        </w:rPr>
        <w:t xml:space="preserve">[47] </w:t>
      </w:r>
      <w:r>
        <w:rPr>
          <w:rFonts w:ascii="Times New Roman" w:hAnsi="Times New Roman"/>
          <w:b w:val="0"/>
          <w:i w:val="0"/>
          <w:color w:val="333333"/>
          <w:sz w:val="19"/>
          <w:eastAsia w:val="微软雅黑"/>
        </w:rPr>
        <w:t>Javed I, Zhang Z, Adamcik J, et al. Accelerated amyloid beta pathogenesis by bacterial amyloid FapC. Adv Sci, 2020, 7(18): 2001299. doi:10.1002/advs.202001299（FapC 片段作为催化表面加速 Aβ 纤维化；斑马鱼幼虫与成鱼中加重 Aβ 沉积、突触丢失与行为损害；绿脓杆菌生物膜片段同样加速）</w:t>
      </w:r>
    </w:p>
    <w:p>
      <w:pPr>
        <w:spacing w:before="0" w:after="40" w:line="283" w:lineRule="auto"/>
        <w:ind w:left="432" w:hanging="432"/>
        <w:jc w:val="left"/>
      </w:pPr>
      <w:r>
        <w:rPr>
          <w:rFonts w:ascii="Times New Roman" w:hAnsi="Times New Roman"/>
          <w:b/>
          <w:i w:val="0"/>
          <w:color w:val="111111"/>
          <w:sz w:val="19"/>
          <w:eastAsia w:val="微软雅黑"/>
        </w:rPr>
        <w:t xml:space="preserve">[48] </w:t>
      </w:r>
      <w:r>
        <w:rPr>
          <w:rFonts w:ascii="Times New Roman" w:hAnsi="Times New Roman"/>
          <w:b w:val="0"/>
          <w:i w:val="0"/>
          <w:color w:val="333333"/>
          <w:sz w:val="19"/>
          <w:eastAsia w:val="微软雅黑"/>
        </w:rPr>
        <w:t>Perov S, Lidor O, Salinas N, et al. Structural insights into curli CsgA cross-β fibril architecture inspire repurposing of anti-amyloid compounds as anti-biofilm agents. PLoS Pathog, 2019, 15(8): e1007978. doi:10.1371/journal.ppat.1007978（CsgA 的 steric zipper 与人类病理淀粉样纤维同构；CsgA 种子加速 Aβ1—40 纤维化）</w:t>
      </w:r>
    </w:p>
    <w:p>
      <w:pPr>
        <w:spacing w:before="0" w:after="40" w:line="283" w:lineRule="auto"/>
        <w:ind w:left="432" w:hanging="432"/>
        <w:jc w:val="left"/>
      </w:pPr>
      <w:r>
        <w:rPr>
          <w:rFonts w:ascii="Times New Roman" w:hAnsi="Times New Roman"/>
          <w:b/>
          <w:i w:val="0"/>
          <w:color w:val="111111"/>
          <w:sz w:val="19"/>
          <w:eastAsia w:val="微软雅黑"/>
        </w:rPr>
        <w:t xml:space="preserve">[49] </w:t>
      </w:r>
      <w:r>
        <w:rPr>
          <w:rFonts w:ascii="Times New Roman" w:hAnsi="Times New Roman"/>
          <w:b w:val="0"/>
          <w:i w:val="0"/>
          <w:color w:val="333333"/>
          <w:sz w:val="19"/>
          <w:eastAsia w:val="微软雅黑"/>
        </w:rPr>
        <w:t>Asti A, Gioglio L. Can a bacterial endotoxin be a key factor in the kinetics of amyloid fibril formation? J Alzheimers Dis, 2014, 39(1): 169-179. doi:10.3233/JAD-131394（内毒素 LPS 缩短成核滞后期、加速 Aβ 纤维化，被视为纤维化的促进因子）</w:t>
      </w:r>
    </w:p>
    <w:p>
      <w:pPr>
        <w:spacing w:before="0" w:after="40" w:line="283" w:lineRule="auto"/>
        <w:ind w:left="432" w:hanging="432"/>
        <w:jc w:val="left"/>
      </w:pPr>
      <w:r>
        <w:rPr>
          <w:rFonts w:ascii="Times New Roman" w:hAnsi="Times New Roman"/>
          <w:b/>
          <w:i w:val="0"/>
          <w:color w:val="111111"/>
          <w:sz w:val="19"/>
          <w:eastAsia w:val="微软雅黑"/>
        </w:rPr>
        <w:t xml:space="preserve">[50] </w:t>
      </w:r>
      <w:r>
        <w:rPr>
          <w:rFonts w:ascii="Times New Roman" w:hAnsi="Times New Roman"/>
          <w:b w:val="0"/>
          <w:i w:val="0"/>
          <w:color w:val="333333"/>
          <w:sz w:val="19"/>
          <w:eastAsia w:val="微软雅黑"/>
        </w:rPr>
        <w:t>Wang LM, Wu Q, Kirk RA, et al. Lipopolysaccharide endotoxemia induces amyloid-β and p-tau formation in the rat brain. Am J Nucl Med Mol Imaging, 2018, 8(2): 86-99（单次腹腔注射 LPS 后大鼠脑内可溶性 Aβ 升高，皮层 Aβ 斑块与 p-tau 在 7—9 天内进行性增加，对照组无斑块）</w:t>
      </w:r>
    </w:p>
    <w:p>
      <w:pPr>
        <w:spacing w:before="0" w:after="40" w:line="283" w:lineRule="auto"/>
        <w:ind w:left="432" w:hanging="432"/>
        <w:jc w:val="left"/>
      </w:pPr>
      <w:r>
        <w:rPr>
          <w:rFonts w:ascii="Times New Roman" w:hAnsi="Times New Roman"/>
          <w:b/>
          <w:i w:val="0"/>
          <w:color w:val="111111"/>
          <w:sz w:val="19"/>
          <w:eastAsia w:val="微软雅黑"/>
        </w:rPr>
        <w:t xml:space="preserve">[51] </w:t>
      </w:r>
      <w:r>
        <w:rPr>
          <w:rFonts w:ascii="Times New Roman" w:hAnsi="Times New Roman"/>
          <w:b w:val="0"/>
          <w:i w:val="0"/>
          <w:color w:val="333333"/>
          <w:sz w:val="19"/>
          <w:eastAsia w:val="微软雅黑"/>
        </w:rPr>
        <w:t>Bacterial amyloid curli associated gut epithelial neuroendocrine activation predominantly observed in Alzheimer's disease mice with central amyloid-β pathology. J Alzheimers Dis, 2022, 88(1): 191-205. doi:10.3233/JAD-220106（Tg-AD 小鼠肠内 curli 与 TLR2 升高、与神经内分泌标志物 PGP9.5 共定位并伴迷走神经激活，构成肠—迷走—脑通路）</w:t>
      </w:r>
    </w:p>
    <w:p>
      <w:pPr>
        <w:spacing w:before="0" w:after="40" w:line="283" w:lineRule="auto"/>
        <w:ind w:left="432" w:hanging="432"/>
        <w:jc w:val="left"/>
      </w:pPr>
      <w:r>
        <w:rPr>
          <w:rFonts w:ascii="Times New Roman" w:hAnsi="Times New Roman"/>
          <w:b/>
          <w:i w:val="0"/>
          <w:color w:val="111111"/>
          <w:sz w:val="19"/>
          <w:eastAsia w:val="微软雅黑"/>
        </w:rPr>
        <w:t xml:space="preserve">[52] </w:t>
      </w:r>
      <w:r>
        <w:rPr>
          <w:rFonts w:ascii="Times New Roman" w:hAnsi="Times New Roman"/>
          <w:b w:val="0"/>
          <w:i w:val="0"/>
          <w:color w:val="333333"/>
          <w:sz w:val="19"/>
          <w:eastAsia w:val="微软雅黑"/>
        </w:rPr>
        <w:t>Forgham H, Albornoz EA, Pietrogrande G, et al. Gut-bacterial amyloids can prime microglia against endogenous amyloid-β and mediate neuroinflammation in Alzheimer's disease. npj Dementia, 2026, 2: 59. doi:10.1038/s44400-026-00122-7（FapC 与 CsgA 混合种子在人源小胶质、干细胞脑类器官与斑马鱼模型中把 Aβ 压实成更小团块、诱发促炎表型，对旁观神经元产生毒性）</w:t>
      </w:r>
    </w:p>
    <w:p>
      <w:pPr>
        <w:spacing w:before="0" w:after="40" w:line="283" w:lineRule="auto"/>
        <w:ind w:left="432" w:hanging="432"/>
        <w:jc w:val="left"/>
      </w:pPr>
      <w:r>
        <w:rPr>
          <w:rFonts w:ascii="Times New Roman" w:hAnsi="Times New Roman"/>
          <w:b/>
          <w:i w:val="0"/>
          <w:color w:val="111111"/>
          <w:sz w:val="19"/>
          <w:eastAsia w:val="微软雅黑"/>
        </w:rPr>
        <w:t xml:space="preserve">[53] </w:t>
      </w:r>
      <w:r>
        <w:rPr>
          <w:rFonts w:ascii="Times New Roman" w:hAnsi="Times New Roman"/>
          <w:b w:val="0"/>
          <w:i w:val="0"/>
          <w:color w:val="333333"/>
          <w:sz w:val="19"/>
          <w:eastAsia w:val="微软雅黑"/>
        </w:rPr>
        <w:t>Wang X, Österlund N, Pereira Curia G, et al. LL-37 and its truncated fragments modulate amyloid-β dynamics, aggregation and toxicity through hetero-oligomer and cluster formation. Angew Chem Int Ed, 2025, 64(43): e202516241. doi:10.1002/anie.202516241（PMID: 40916348；LL-37 及其片段与 Aβ40 形成异源寡聚体与纳米/微米团簇，在抑制纤维的同时生成毒性更强的聚集体）</w:t>
      </w:r>
    </w:p>
    <w:p>
      <w:pPr>
        <w:spacing w:before="0" w:after="40" w:line="283" w:lineRule="auto"/>
        <w:ind w:left="432" w:hanging="432"/>
        <w:jc w:val="left"/>
      </w:pPr>
      <w:r>
        <w:rPr>
          <w:rFonts w:ascii="Times New Roman" w:hAnsi="Times New Roman"/>
          <w:b/>
          <w:i w:val="0"/>
          <w:color w:val="111111"/>
          <w:sz w:val="19"/>
          <w:eastAsia w:val="微软雅黑"/>
        </w:rPr>
        <w:t xml:space="preserve">[55] </w:t>
      </w:r>
      <w:r>
        <w:rPr>
          <w:rFonts w:ascii="Times New Roman" w:hAnsi="Times New Roman"/>
          <w:b w:val="0"/>
          <w:i w:val="0"/>
          <w:color w:val="333333"/>
          <w:sz w:val="19"/>
          <w:eastAsia w:val="微软雅黑"/>
        </w:rPr>
        <w:t>Szekeres M, Ivitz E, Datki Z, et al. Relevance of defensin β-2 and α defensins (HNP1-3) in Alzheimer's disease. Psychiatry Res, 2016, 239: 342-345. doi:10.1016/j.psychres.2016.03.045（PMID: 27082275；AD 患者 DEFB4 拷贝数更高，hBD-2 与HNP1-3 在血清与脑脊液中显著升高，作者据此提出防御素可能参与 AD 的发生）</w:t>
      </w:r>
    </w:p>
    <w:p>
      <w:pPr>
        <w:spacing w:before="0" w:after="40" w:line="283" w:lineRule="auto"/>
        <w:ind w:left="432" w:hanging="432"/>
        <w:jc w:val="left"/>
      </w:pPr>
      <w:r>
        <w:rPr>
          <w:rFonts w:ascii="Times New Roman" w:hAnsi="Times New Roman"/>
          <w:b/>
          <w:i w:val="0"/>
          <w:color w:val="111111"/>
          <w:sz w:val="19"/>
          <w:eastAsia w:val="微软雅黑"/>
        </w:rPr>
        <w:t xml:space="preserve">[56] </w:t>
      </w:r>
      <w:r>
        <w:rPr>
          <w:rFonts w:ascii="Times New Roman" w:hAnsi="Times New Roman"/>
          <w:b w:val="0"/>
          <w:i w:val="0"/>
          <w:color w:val="333333"/>
          <w:sz w:val="19"/>
          <w:eastAsia w:val="微软雅黑"/>
        </w:rPr>
        <w:t>Zhang Y, Liu Y, Tang Y, et al. Antimicrobial α-defensins as multi-target inhibitors against amyloid formation and microbial infection. Chem Sci, 2021, 12(26): 9124-9139. doi:10.1039/D1SC01133B（反向证据：HNP-1 与 NP-3A 在等摩尔比下完全抑制 Aβ 纤维化，说明同为防御素方向并不一致，写入边界）</w:t>
      </w:r>
    </w:p>
    <w:p>
      <w:pPr>
        <w:spacing w:before="0" w:after="40" w:line="283" w:lineRule="auto"/>
        <w:ind w:left="432" w:hanging="432"/>
        <w:jc w:val="left"/>
      </w:pPr>
      <w:r>
        <w:rPr>
          <w:rFonts w:ascii="Times New Roman" w:hAnsi="Times New Roman"/>
          <w:b/>
          <w:i w:val="0"/>
          <w:color w:val="111111"/>
          <w:sz w:val="19"/>
          <w:eastAsia w:val="微软雅黑"/>
        </w:rPr>
        <w:t xml:space="preserve">[57] </w:t>
      </w:r>
      <w:r>
        <w:rPr>
          <w:rFonts w:ascii="Times New Roman" w:hAnsi="Times New Roman"/>
          <w:b w:val="0"/>
          <w:i w:val="0"/>
          <w:color w:val="333333"/>
          <w:sz w:val="19"/>
          <w:eastAsia w:val="微软雅黑"/>
        </w:rPr>
        <w:t>De Lorenzi E, Chiari M, Colombo R, et al. Evidence that the human innate immune peptide LL-37 may be a binding partner of amyloid-β and inhibitor of fibril assembly. J Alzheimers Dis, 2017, 59(4): 1213-1226. doi:10.3233/JAD-170223（体系依赖：LL-37 抑制长纤维形成，但把 Aβ42 的平衡推向低分子量寡聚体，并在该体系中降低微胶质介导的毒性）</w:t>
      </w:r>
    </w:p>
    <w:p>
      <w:pPr>
        <w:spacing w:before="0" w:after="40" w:line="283" w:lineRule="auto"/>
        <w:ind w:left="432" w:hanging="432"/>
        <w:jc w:val="left"/>
      </w:pPr>
      <w:r>
        <w:rPr>
          <w:rFonts w:ascii="Times New Roman" w:hAnsi="Times New Roman"/>
          <w:b/>
          <w:i w:val="0"/>
          <w:color w:val="111111"/>
          <w:sz w:val="19"/>
          <w:eastAsia w:val="微软雅黑"/>
        </w:rPr>
        <w:t xml:space="preserve">[58] </w:t>
      </w:r>
      <w:r>
        <w:rPr>
          <w:rFonts w:ascii="Times New Roman" w:hAnsi="Times New Roman"/>
          <w:b w:val="0"/>
          <w:i w:val="0"/>
          <w:color w:val="333333"/>
          <w:sz w:val="19"/>
          <w:eastAsia w:val="微软雅黑"/>
        </w:rPr>
        <w:t>Fernández-Calvet A, Matilla-Cuenca L, Izco M, et al. Gut microbiota produces biofilm-associated amyloids with potential for neurodegeneration. Nat Commun, 2024, 15: 4150. doi:10.1038/s41467-024-48309-x（人粪便来源的生物膜相关淀粉样蛋白在 AD/PD 患者中更丰富，可交叉成核 αSyn，并在体外参与 Aβ 的成核）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