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宏蛋白组表达证据二次去重与健康人群／各阶段特有抗菌肽筛选：已完成，已形成特有抗菌肽清单。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发病机制的关联分析：进行中，分析方案已确定，正在开展与 Aβ 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选出健康人群特有与各疾病阶段特有的抗菌肽，形成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 β-淀粉样肽、乙酰胆碱酯酶外周阴离子位点的结合情况与复合物稳定性，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特有肽清单，结果可相互印证。完成实验后集中进行结果整理与补充分析，形成完整的图表体系与结论框架，并同步整理投稿论文的材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选题与总体框架、研究方案与技术路线、阶段成果整理与学术规范等方面给予持续指导。针对单一模型预测容易产生假阳性的问题，指导采用多模型独立预测、取一致阳性结果构成候选集合，并引入宏蛋白组表达证据二次去重；强调区分计算预测与实验证据、不夸大因果性结论，并通过定期组会督促研究进度。目前主体分析已完成，机制关联分析与抑菌实验验证正在推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完成数据处理与建模工作，中期阶段已完成数据资源构建、多模型共识预测、分阶段差异分析与特有抗菌肽筛选等主体工作，结果可信，进度与开题计划一致。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