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其余各项（分阶段差异分析、宏蛋白组二次去重与特有抗菌肽筛选、机制关联分析、抑菌实验验证、结果整理与论文撰写）为中期之后的工作，实施方案与所需材料已确定。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宏基因组数据处理与微生物基因组参考集构建、小开放阅读框预测与微生物源短肽库构建两项已全部完成，三模型共识预测已形成候选抗菌肽名单，构成了课题的主体分析基础；分阶段差异分析、宏蛋白组去重与特有抗菌肽筛选正在开展，机制关联分析、抑菌实验验证与论文撰写安排在后续阶段进行。</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截至本次中期检查，课题整体进度与开题报告拟定的安排基本一致：数据处理与预测环节已形成完整结果，后续分析所需的短肽库与候选名单已经具备，剩余工作的输入条件成熟，进度风险可控。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（三）分阶段差异分析与特有抗菌肽筛选（正在实施）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分阶段差异分析已进入实施：按 NC、SCS、SCD、MCI 与 AD 五个认知阶段比较候选抗菌肽的丰度与组成差异，识别可能随病程变化的候选抗菌肽。该环节与后续的二次去重衔接，分析结果将作为特有抗菌肽筛选的输入。</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宏蛋白组表达证据二次去重按计划推进：在序列去冗余的基础上，逐步引入蛋白层面的表达证据，剔除缺少表达支持的序列，再按组内共有、组间特比较，筛选健康人群特有与各疾病阶段特有的抗菌肽。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β-淀粉样肽（Aβ）、乙酰胆碱酯酶（AChE）外周阴离子位点的结合情况与复合物稳定性，并结合文献比对与功能注释分析其可能涉及的免疫与炎症通路。相关分析按方案在下一阶段实施，候选肽的序列与结构准备、参数设置与流程搭建等前期工作已完成。</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名单为主要形式：已形成完整可重复的分析流程与技术文档；已形成候选抗菌肽名单及预测环节的统计信息；分阶段差异分析与特有抗菌肽筛选正在实施。阶段性成果中暂无以第一作者公开发表的学术论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预测结果可能存在假阳性。应对：以多模型共识判定提高候选集合的可信度，再以宏蛋白组表达证据二次去重，最后通过抑菌实验对代表性候选肽进行验证，形成层层递进的证据链。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分阶段差异分析与特有抗菌肽筛选尚在实施。应对：按既定流程推进，先完成差异比较与表达证据过滤，再冻结特有肽清单；后续机制关联分析与抑菌实验共用同一份清单，避免重复分析、控制工作量。</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研究实施阶段，针对单一模型预测容易产生假阳性的问题，指导采用多个模型独立预测、取一致阳性结果构成候选集合；对公开数据的来源与处理口径、分析流程的可复现性提出明确要求，强调区分计算预测与实验证据，并通过定期组会与阶段汇报督促研究进度。目前数据处理与预测环节已完成，分阶段差异分析与特有抗菌肽筛选正在推进，机制关联分析与抑菌实验验证已排入后续计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查阅文献、完成数据处理与建模工作，具备较好的生物信息学分析基础。中期阶段已完成全队列宏基因组数据处理、微生物源短肽库构建与多模型共识预测等主体分析工作，候选抗菌肽名单已经形成，进度与开题计划一致；对预测假阳性等问题已有明确处理办法，后续工作安排合理。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