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与活性验证组成的完整链条，该框架同样适用于其他疾病队列与微生物组研究；其三，通过对候选抗菌肽的发病机制关联分析与抑菌活性验证，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可在体外实验中表现出抑菌活性，为计算预测与实验验证相结合提供了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AChE）—β-淀粉样肽复合物分子模拟研究的思路，从三个方向考察特有抗菌肽与 AD 发病机制的关联：与 β-淀粉样肽的相互作用及其对聚集与纤维化过程的影响；与 AChE 外周阴离子位点结合、从而干扰成核环节的可能性；经免疫调节与炎症通路参与神经炎症的可能性。分析结果以结合情况、复合物稳定性与通路层面的解释为主，研究定位为线索发现。</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结果整理与论文撰写。将候选抗菌肽名单、分阶段差异结果、特有抗菌肽清单以及机制关联与抑菌实验结果汇总为完整的图表与结论体系，按学位论文规范完成学位论文撰写，并在此基础上整理投稿论文。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最后以实验验证提供直接证据，形成由计算到实验、由弱到强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Aβ 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与抑菌实验验证的输入，使计算分析与实验验证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 β-淀粉样肽、乙酰胆碱酯酶外周阴离子位点的结合情况与复合物稳定性，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同时完成了候选抗菌肽抑菌实验的方案设计，明确了候选肽的选择原则、指示菌种类、初筛与定量方法、对照设置与判读标准。实验设计遵循通用、可复现的原则：采用纸片扩散法观察抑菌圈进行初筛，再以微量肉汤稀释法测定最低抑菌浓度，设置阳性对照与阴性对照并对每组设置重复；实验在常规微生物实验室条件下即可完成，不涉及复杂的动物实验或组学实验，与课题的时间安排相匹配。</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健康人群特有与各阶段特有的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在此基础上完成学位论文，按培养计划参加预答辩与学位申请。若实验验证结果符合预期，将进一步补充机制讨论与验证证据，作为学位论文的组成部分。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外周阴离子位点的结合模式与复合物稳定性，重点关注其对 Aβ 聚集过程与成核环节的可能影响；同时结合文献比对与功能注释，从免疫调节与炎症通路角度分析候选肽可能参与的作用环节。分析过程中保留参数设置与轨迹分析结果，以保证结论可复核。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发病机制关联的分析结果，包括结合情况、稳定性评价与通路层面的解释；对证据较强的候选肽形成优先验证清单，为后续实验与论文讨论提供依据。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预期产出：候选抗菌肽抑菌活性的初步结果与活性—序列关系的初步观察，作为学位论文实验验证章节的主要内容，并为候选肽的后续深入研究提供筛选依据。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实验验证与论文撰写在时间上存在并行压力。应对：严格控制候选肽数量与实验内容，优先完成初筛与最低抑菌浓度测定；实验与论文撰写并行推进，预留缓冲时间，确保按计划完成预答辩与学位申请。</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自开题以来，导师在论文选题与总体框架、研究方案与技术路线、阶段成果整理与学术规范等方面给予持续指导。选题阶段，结合课题组在肠道微生物与抗菌肽方向的研究基础，协助确定以 AD 人群的肠道微生物组为对象、以微生物源抗菌肽为切入点，并按认知功能阶段开展比较研究的技术路线。研究实施阶段，针对单一模型预测容易产生假阳性的问题，指导采用多个模型独立预测、取一致阳性结果构成候选集合，并进一步引入宏蛋白组表达证据进行二次去重；对公开数据的来源与处理口径、分析流程的可复现性以及结果表述的严谨性提出明确要求，强调区分计算预测与实验证据、不夸大因果性结论。同时通过定期组会与阶段汇报督促研究进度，并就结果整理、论文写作与投稿计划给出具体建议。目前论文主体分析工作已完成，机制关联分析与抑菌实验验证正在推进，学位论文与投稿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特有抗菌肽筛选等主体工作，结果可信，进度与开题计划一致；对预测假阳性、部分样本缺少可用参考基因组、机制关联证据强度有限等问题已有明确处理办法，后续工作安排合理。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