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howingPlcHd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 </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howingPlcHd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 </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showingPlcHd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选择一项</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howingPlcHd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 </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howingPlcHd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 </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howingPlcHd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 </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howingPlcHd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 </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AD）是以进行性认知功能下降为特征的神经退行性疾病。近年来的研究提示，AD 的发生发展不仅与脑内的淀粉样蛋白沉积和神经炎症有关，也与"肠—脑轴"介导的肠道微生物组改变相关。肠道微生物基因组中的小开放阅读框可编码长度为 5—50 个氨基酸的短肽，其中包含具有抗菌与免疫调节功能的抗菌肽（antimicrobial peptides, AMPs）；这类微生物源抗菌肽可能是连接肠道微生物刺激与神经炎症的潜在效应分子。然而，已有抗菌肽研究大多基于通用训练数据集与宿主来源序列，尚缺乏面向 AD 人群、并按认知功能阶段分层比较微生物源抗菌肽的研究。据此，本研究以公开宏基因组队列为基础，构建微生物源短肽库，采用深度学习模型预测候选抗菌肽，比较健康人群与 AD 各认知阶段的抗菌肽差异，筛选出健康人群与各阶段特有的抗菌肽，并进一步考察其与 AD 发病机制的关联，最后以简化的抑菌实验对候选抗菌肽做初步验证。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微生物基因组参考集与短肽库构建。完成全队列宏基因组数据的统一处理与质量评估，获得高质量的微生物基因组参考集；在此基础上对基因组进行小开放阅读框预测，构建覆盖全队列、来源可追溯的非冗余微生物源短肽库，作为后续预测与比较分析的统一输入。参考集按物种多样性原则构建，以尽量减少因组装质量差异带来的样本偏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三模型共识预测候选抗菌肽。采用 Attention、LSTM 与 BERT 三个深度学习模型对短肽库进行独立预测，三个模型一致判为阳性的序列才纳入候选抗菌肽集合，以提高候选集的可信度、降低单一模型带来的预测偏倚。该步骤已在本阶段完成，得到候选抗菌肽名单。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分阶段差异分析。按照认知功能将队列划分为健康人群与各疾病阶段，比较各阶段与健康人群之间候选抗菌肽的丰度与组成差异，筛选出随病程变化明显的候选抗菌肽，为后续筛选特异肽提供依据。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宏蛋白组二次去重与特有抗菌肽筛选。在序列层面去冗余的基础上，引入宏蛋白组表达证据进行二次去重，只保留在蛋白层面真实存在并可检出的抗菌肽，进而通过组内共有与组间特有的比较策略，得到健康人群特有与各疾病阶段特有的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与 AD 发病机制的关联分析。参照乙酰胆碱酯酶—β-淀粉样肽复合物分子模拟研究的思路，从三个方向考察特有抗菌肽与 AD 发病机制的关联：与 β-淀粉样肽的相互作用及其对聚集过程的影响、与乙酰胆碱酯酶外周阴离子位点结合从而干扰成核过程的可能性、以及经免疫与炎症通路参与神经炎症调节的可能性。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极简抑菌实验验证。选择少量有代表性的候选抗菌肽进行人工合成，以常见指示菌开展纸片扩散法初筛，并以微量肉汤稀释法测定最低抑菌浓度，用较小的工作量获得候选抗菌肽具有抑菌活性的直接证据。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小开放阅读框预测与非冗余短肽库构建：已完成。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Attention、LSTM、BERT 三个模型的候选抗菌肽预测：已完成，已形成候选抗菌肽名单。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分阶段抗菌肽差异分析：已完成，已获得随病程变化的候选抗菌肽。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宏蛋白组二次去重与健康人／各阶段特有抗菌肽筛选：已完成。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与 AD 发病机制的关联分析：进行中，已完成分析方案设计，正在开展特有抗菌肽与淀粉样蛋白聚集、乙酰胆碱酯酶结合及炎症通路的关联分析。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候选抗菌肽的极简抑菌实验验证：进行中，已完成候选肽筛选、菌株与实验条件准备，正在开展抑菌实验。</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结果整理与学位论文撰写：进行中，前期数据与图表已整理完毕，论文撰写同步推进。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截至本次中期检查，研究内容的主体部分（数据资源、候选肽预测、差异分析与特异肽筛选）均已完成，当前工作集中在机制关联分析与实验验证两个环节，整体进度与开题报告拟定的安排基本一致。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处理与微生物基因组参考集构建，并在此基础上完成小开放阅读框预测，建立了覆盖全队列、来源可追溯的非冗余微生物源短肽库。该短肽库可作为同类研究的基础数据与本课题后续分析的统一输入，相关处理流程已完成脚本化，具备可重复性。</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 Attention、LSTM 与 BERT 三个模型完成了对短肽库的预测，并通过三模型一致性判定得到候选抗菌肽集合，形成了可用于后续比较与验证的候选名单。三模型协同的判定方式提高了候选集合的可信度。</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（三）差异分析与特异性筛选结果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完成了健康人群与各认知阶段之间候选抗菌肽的分阶段差异分析，并结合宏蛋白组表达证据完成二次去重，筛选出健康人群特有与各疾病阶段特有的抗菌肽，为探讨抗菌肽与 AD 病程的关系提供了候选对象。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（四）成果形式</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形成完整、可重复的分析流程与技术文档；已形成候选抗菌肽名单、差异抗菌肽结果以及健康人／各阶段特有抗菌肽清单；已完成机制关联分析与抑菌实验的方案设计。阶段性成果中暂无以第一作者公开发表的学术论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暂无以第一作者公开发表的学术论文，亦无以本研究为基础的投稿记录。目前研究主体工作已经完成，计划在完成机制关联分析与抑菌实验验证后，以第一作者撰写并投稿 SCI 收录论文 1 篇，并在此基础上完成学位论文，按计划申请预答辩。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内容：完成健康人特有肽与各阶段特有肽的功能关联分析。方案：参照乙酰胆碱酯酶—β-淀粉样肽复合物分子模拟研究的技术路线，采用分子对接与分子动力学模拟考察候选抗菌肽与 β-淀粉样肽、乙酰胆碱酯酶外周阴离子位点的结合情况与复合物稳定性；同时结合文献比对与功能注释，从免疫调节与炎症通路角度分析其可能的作用环节，最终形成候选抗菌肽与 AD 发病机制关联的结果清单。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（二）候选抗菌肽的极简抑菌实验验证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验证。方案：选择健康人特有与阶段特有的代表性候选肽进行人工合成，以大肠杆菌与金黄色葡萄球菌作为指示菌，先采用纸片扩散法观察抑菌圈进行初筛，再采用微量肉汤稀释法测定最低抑菌浓度；同时设置阳性对照（已知抗菌肽）与阴性对照（溶剂），每组设置重复，以保证结果可靠。实验方案保持简单，在常规微生物实验室即可完成，用于对候选抗菌肽做最小可行性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（三）结果整理与论文撰写</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全部结果的整理与学位论文撰写。方案：将候选抗菌肽、差异抗菌肽、健康人／各阶段特有抗菌肽以及机制关联与抑菌实验结果汇总为完整的图表与结论体系；按学位论文规范撰写学位论文，并整理投稿论文，计划于 2027 年上半年完成初稿并申请预答辩。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预测结果可能存在假阳性。应对：以三模型共识判定提高候选集可信度，再以宏蛋白组表达证据二次去重，最后通过抑菌实验进行最小验证。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部分样本缺少可用的参考基因组。应对：在丰度分析阶段改用全量基因组回填，恢复样本覆盖，避免参考集筛选造成样本缺失。</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机制关联分析的证据强度有限。应对：以分子模拟与文献比对为主，将研究定位为线索发现，不夸大因果性结论。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fldChar w:fldCharType="begin">
                <w:ffData>
                  <w:name w:val="文字2"/>
                  <w:enabled/>
                  <w:calcOnExit w:val="0"/>
                  <w:textInput/>
                </w:ffData>
              </w:fldChar>
            </w:r>
            <w:r>
              <w:rPr>
                <w:rFonts w:ascii="宋体" w:hAnsi="宋体"/>
                <w:color w:val="000000" w:themeColor="text1"/>
                <w:sz w:val="24"/>
                <w14:textFill>
                  <w14:solidFill>
                    <w14:schemeClr w14:val="tx1"/>
                  </w14:solidFill>
                </w14:textFill>
              </w:rPr>
              <w:instrText xml:space="preserve"> </w:instrText>
            </w:r>
            <w:r>
              <w:rPr>
                <w:rFonts w:hint="eastAsia" w:ascii="宋体" w:hAnsi="宋体"/>
                <w:color w:val="000000" w:themeColor="text1"/>
                <w:sz w:val="24"/>
                <w14:textFill>
                  <w14:solidFill>
                    <w14:schemeClr w14:val="tx1"/>
                  </w14:solidFill>
                </w14:textFill>
              </w:rPr>
              <w:instrText xml:space="preserve">FORMTEXT</w:instrText>
            </w:r>
            <w:r>
              <w:rPr>
                <w:rFonts w:ascii="宋体" w:hAnsi="宋体"/>
                <w:color w:val="000000" w:themeColor="text1"/>
                <w:sz w:val="24"/>
                <w14:textFill>
                  <w14:solidFill>
                    <w14:schemeClr w14:val="tx1"/>
                  </w14:solidFill>
                </w14:textFill>
              </w:rPr>
              <w:instrText xml:space="preserve"> </w:instrText>
            </w:r>
            <w:r>
              <w:rPr>
                <w:rFonts w:ascii="宋体" w:hAnsi="宋体"/>
                <w:color w:val="000000" w:themeColor="text1"/>
                <w:sz w:val="24"/>
                <w14:textFill>
                  <w14:solidFill>
                    <w14:schemeClr w14:val="tx1"/>
                  </w14:solidFill>
                </w14:textFill>
              </w:rPr>
              <w:fldChar w:fldCharType="separate"/>
            </w:r>
            <w:r>
              <w:rPr>
                <w:rFonts w:ascii="宋体" w:hAnsi="宋体"/>
                <w:color w:val="000000" w:themeColor="text1"/>
                <w:sz w:val="24"/>
                <w14:textFill>
                  <w14:solidFill>
                    <w14:schemeClr w14:val="tx1"/>
                  </w14:solidFill>
                </w14:textFill>
              </w:rPr>
              <w:t>     </w:t>
            </w:r>
            <w:r>
              <w:rPr>
                <w:rFonts w:ascii="宋体" w:hAnsi="宋体"/>
                <w:color w:val="000000" w:themeColor="text1"/>
                <w:sz w:val="24"/>
                <w14:textFill>
                  <w14:solidFill>
                    <w14:schemeClr w14:val="tx1"/>
                  </w14:solidFill>
                </w14:textFill>
              </w:rPr>
              <w:fldChar w:fldCharType="end"/>
            </w:r>
            <w:bookmarkStart w:id="1" w:name="_GoBack"/>
            <w:bookmarkEnd w:id="1"/>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