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2">
      <w:pPr>
        <w:pStyle w:val="2"/>
        <w:ind w:left="0" w:firstLine="0" w:firstLineChars="0"/>
      </w:pPr>
      <w:bookmarkStart w:id="0" w:name="_GoBack"/>
      <w:bookmarkEnd w:id="0"/>
      <w:r>
        <w:rPr>
          <w:b/>
          <w:sz w:val="32"/>
        </w:rPr>
        <w:t>宏基因组组装基因组的重建与种水平去冗余</w:t>
      </w:r>
    </w:p>
    <w:p w14:paraId="00100004">
      <w:pPr>
        <w:ind w:left="0" w:firstLineChars="200"/>
      </w:pPr>
      <w:r>
        <w:t>对476例粪便样本的双端鸟枪法宏基因组测序数据，首先使用fastp进行质量过滤，随后采用KneadData结合Bowtie2比对人类参考基因组hg38以去除宿主序列。各样本的高质量clean reads分别使用MEGAHIT进行从头组装。所得contigs采用MetaBAT2、MaxBin2与CONCOCT三种算法独立分箱，并通过metaWRAP的bin_refinement模块对三套分箱结果进行整合与提纯，保留完整度不低于50%且污染度不高于10%的基因组，最终在全队列中获得22 582个宏基因组组装基因组（metagenome-assembled genomes，MAGs）。</w:t>
      </w:r>
    </w:p>
    <w:p w14:paraId="00100006">
      <w:pPr>
        <w:ind w:left="0" w:firstLineChars="200"/>
      </w:pPr>
      <w:r>
        <w:t>基因组质量评估基于CheckM的谱系特异性标记基因集完成。核糖体RNA基因使用barrnap注释，转运RNA基因使用tRNAscan-SE注释，据此依照宏基因组组装基因组最小信息标准（Minimum Information about a Metagenome-Assembled Genome，MIMAG）进行质量分级。在全部22 582个MAGs中，共有757个满足MIMAG高质量标准，即完整度不低于90%、污染度不高于5%、含有完整的5S、16S与23S rRNA基因，且包含至少18种不同的tRNA。</w:t>
      </w:r>
    </w:p>
    <w:p w14:paraId="00100008">
      <w:pPr>
        <w:ind w:left="0" w:firstLineChars="200"/>
      </w:pPr>
      <w:r>
        <w:t>为构建用于多肽挖掘的非冗余参考基因组集，全部22 582个MAGs使用dRep在95%平均核苷酸一致性（average nucleotide identity，ANI）阈值下进行聚类去冗余，该阈值为国际公认的细菌种水平划分界限。在每一个种水平聚类簇内，代表基因组依据dRep默认打分函数选出，其计算式为：完整度减去5倍污染度，加上污染度与菌株异质性百分比之积，加上0.5倍log(N50)，再加上中心性校正项。去冗余后共获得1 971个种水平代表基因组，对应约11.5个bin归并为1个物种的压缩比。这1 971个代表基因组来源于476例受试者中的459例，其余17例受试者所得bins在同物种竞争中均未获选为代表。</w:t>
      </w:r>
    </w:p>
    <w:p w14:paraId="0010000A">
      <w:pPr>
        <w:ind w:left="0" w:firstLineChars="200"/>
      </w:pPr>
      <w:r>
        <w:t>下游sORF挖掘采用上述1 971个种水平代表基因组，而非仅使用757个高质量MAGs，其目的在于最大限度保留队列的物种多样性。经核实，若将参考集限定为757个高质量MAGs，去重后仅对应80个物种，将损失约96%的物种多样性，并使476例样本中的98例（占21%）完全无基因组入选，从而引入与测序深度和组装质量相关的系统性偏倚。</w:t>
      </w:r>
    </w:p>
    <w:p w14:paraId="0010000C">
      <w:pPr>
        <w:pStyle w:val="2"/>
        <w:ind w:left="0" w:firstLine="0" w:firstLineChars="0"/>
      </w:pPr>
      <w:r>
        <w:rPr>
          <w:b/>
          <w:sz w:val="32"/>
        </w:rPr>
        <w:t>小开放阅读框预测与非冗余多肽库构建</w:t>
      </w:r>
    </w:p>
    <w:p w14:paraId="0010000E">
      <w:pPr>
        <w:ind w:left="0" w:firstLineChars="200"/>
      </w:pPr>
      <w:r>
        <w:t>参照人肠道微生物组抗菌肽挖掘的既有流程，使用EMBOSS软件包（版本6.6.0.0）中的getorf程序对1 971个代表基因组逐一进行小开放阅读框（small open reading frames，sORFs）预测，命令为：getorf -sequence &lt;genome.fa&gt; -find 0 -table 11 -minsize 15 -maxsize 150 -outseq &lt;output.orf.fa&gt;。</w:t>
      </w:r>
    </w:p>
    <w:p w14:paraId="00100010">
      <w:pPr>
        <w:ind w:left="0" w:firstLineChars="200"/>
      </w:pPr>
      <w:r>
        <w:t>其中，-find 0参数指定输出六个阅读框中所有由终止密码子界定区段的氨基酸翻译产物，不要求存在起始密码子；-table 11参数指定细菌、古菌与植物质体标准遗传密码表。需要说明的是，EMBOSS规范中-minsize与-maxsize参数的长度单位为核苷酸而非氨基酸，因此15与150的取值实际对应5至50个氨基酸的多肽区间，该范围与抗菌肽的经典长度分布相符，亦与同类宏基因组多肽挖掘研究所采用的参数设置一致。</w:t>
      </w:r>
    </w:p>
    <w:p w14:paraId="00100012">
      <w:pPr>
        <w:ind w:left="0" w:firstLineChars="200"/>
      </w:pPr>
      <w:r>
        <w:t>对全部代表基因组完成预测后，共获得219 305 235条原始sORF序列。各基因组的sORF产出量介于19 965条至425 113条之间，中位数为96 017条，跨基因组的最大与最小值相差约21.3倍，该差异主要由基因组大小与组装完整度决定。全部预测多肽经合并后，使用自编Perl脚本进行序列水平的精确去冗余：以氨基酸序列本身作为哈希键，对多行FASTA记录先行拼接为完整序列后再行哈希，剥离序列末端的终止符，对每一条唯一氨基酸序列仅保留首次观测到的序列头信息。本步骤未引入任何外部抗菌肽数据库进行过滤，亦未使用机器学习分类器，以确保所构建的多肽库为无偏的从头预测序列空间。去冗余后最终获得包含91 392 612条序列的非冗余sORF多肽库。</w:t>
      </w:r>
    </w:p>
    <w:p w14:paraId="00100014">
      <w:pPr>
        <w:ind w:left="0" w:firstLineChars="200"/>
      </w:pPr>
      <w:r>
        <w:t>每条多肽的序列头均保留溯源信息，格式为</w:t>
      </w:r>
      <w:r>
        <w:rPr>
          <w:rFonts w:ascii="Consolas" w:hAnsi="Consolas"/>
        </w:rPr>
        <w:t>&gt;sORF_&lt;MAG_ID&gt;_&lt;序号&gt; [MAG=&lt;MAG_ID&gt;]</w:t>
      </w:r>
      <w:r>
        <w:t>，其中MAG标识符遵循</w:t>
      </w:r>
      <w:r>
        <w:rPr>
          <w:rFonts w:ascii="Consolas" w:hAnsi="Consolas"/>
        </w:rPr>
        <w:t>&lt;样本编号&gt;__bin.&lt;编号&gt;</w:t>
      </w:r>
      <w:r>
        <w:t>的命名规则，从而使每一条多肽均可回溯至其来源代表基因组，并进一步追溯至该基因组最初所组装自的临床样本。</w:t>
      </w:r>
    </w:p>
    <w:p w14:paraId="00100016">
      <w:pPr>
        <w:pStyle w:val="2"/>
        <w:ind w:left="0" w:firstLine="0" w:firstLineChars="0"/>
      </w:pPr>
      <w:r>
        <w:rPr>
          <w:b/>
          <w:sz w:val="32"/>
        </w:rPr>
        <w:t>队列分层与四维度比较设计</w:t>
      </w:r>
    </w:p>
    <w:p w14:paraId="00100018">
      <w:pPr>
        <w:ind w:left="0" w:firstLineChars="200"/>
      </w:pPr>
      <w:r>
        <w:t>宿主年龄与性别是肠道宏基因组研究中公认的强混杂因素。为区分多肽水平的差异究竟源于认知衰退病程本身，抑或源于增龄效应与组间样本量不均衡，本研究在全队列之外，另行构建了严格匹配的分层亚队列。</w:t>
      </w:r>
    </w:p>
    <w:p w14:paraId="0010001A">
      <w:pPr>
        <w:ind w:left="0" w:firstLineChars="200"/>
      </w:pPr>
      <w:r>
        <w:t>将476例受试者按五个诊断阶段（认知正常NC、主观认知症状SCS、主观认知下降SCD、轻度认知障碍MCI、阿尔茨海默病AD）、两种性别与三个年龄段（60至69岁、70至79岁、80岁及以上）交叉划分为30个分层单元。在每一个性别与年龄交叉分层内，各诊断阶段的抽样例数统一设定为该分层中五个阶段例数的最小值，即采用以最短板为约束的分层抽样策略。据此获得包含265例受试者的匹配亚队列，各诊断阶段例数严格相等（每组53例），各组性别构成完全一致（每组35例女性、18例男性），各组平均年龄高度接近（NC组68.4岁、SCS组68.2岁、SCD组69.1岁、MCI组68.8岁、AD组70.0岁，组间最大差值为1.8岁）。</w:t>
      </w:r>
    </w:p>
    <w:p w14:paraId="0010001C">
      <w:pPr>
        <w:ind w:left="0" w:firstLineChars="200"/>
      </w:pPr>
      <w:r>
        <w:t>在此基础上，通过交叉样本范围与分组粒度，定义四个平行分析队列。队列一为匹配265例受试者的五阶段分层比较，用于在排除年龄与性别混杂的前提下，锁定随病程连续演变的多肽特征。队列二为匹配亚队列中两个极端组的二元比较（NC组与AD组），提供样本量完全均衡的对立检验。队列三为全部476例受试者的五阶段比较，以获得最大统计效能并提升对低丰度特征的检出敏感度。队列四为全队列中的二元比较，用于评估匹配队列所得结论在包含真实世界临床异质性的大样本中的稳健性。为维持匹配亚队列的均衡设计，二元比较中排除了中间诊断阶段的样本。</w:t>
      </w:r>
    </w:p>
    <w:p w14:paraId="0010001E">
      <w:pPr>
        <w:pStyle w:val="2"/>
        <w:ind w:left="0" w:firstLine="0" w:firstLineChars="0"/>
      </w:pPr>
      <w:r>
        <w:rPr>
          <w:b/>
          <w:sz w:val="32"/>
        </w:rPr>
        <w:t>sORF数量的量化与统计分析</w:t>
      </w:r>
    </w:p>
    <w:p w14:paraId="00100020">
      <w:pPr>
        <w:ind w:left="0" w:firstLineChars="200"/>
      </w:pPr>
      <w:r>
        <w:t>对1 971个代表基因组，分别统计其getorf输出文件中的FASTA记录数，即为该基因组的sORF条数。随后依据基因组文件名中编码的MAG与样本对应关系，将计数汇总至受试者层面，得到每例受试者的三项指标：该受试者贡献至去冗余代表集的基因组数（N_MAG）、上述基因组的sORF总数（Total_sORF），以及单位基因组的sORF平均数（sORF_per_MAG，由Total_sORF除以N_MAG计算）。</w:t>
      </w:r>
    </w:p>
    <w:p w14:paraId="00100022">
      <w:pPr>
        <w:ind w:left="0" w:firstLineChars="200"/>
      </w:pPr>
      <w:r>
        <w:t>由于dRep执行的是跨样本去冗余，在每一物种簇内仅保留打分最高的基因组，因此某一受试者贡献的代表基因组数所反映的是该受试者所得bins在同物种竞争中的相对组装质量，而非其肠道菌群的真实物种丰富度。Total_sORF与N_MAG成正比，因而同样易受组装质量偏倚的影响。基于上述考虑，本研究将sORF_per_MAG设定为主要结局指标，该指标已对贡献基因组数进行归一化，反映单位基因组的sORF编码密度；Total_sORF与N_MAG则分别作为次要指标与偏倚诊断指标一并报告。若某一组间差异仅体现于Total_sORF而未在sORF_per_MAG中得到一致体现，则判定该差异源于基因组数量偏倚而非生物学效应。未贡献任何代表基因组的17例受试者不纳入相应分析，故四个队列的实际有效样本量分别为255例、102例、459例与178例。</w:t>
      </w:r>
    </w:p>
    <w:p w14:paraId="00100024">
      <w:pPr>
        <w:ind w:left="0" w:firstLineChars="200"/>
      </w:pPr>
      <w:r>
        <w:t>鉴于sORF计数分布呈右偏且存在零膨胀现象，不满足正态性假设，全部组间比较均采用非参数检验方法。对五阶段队列（队列一与队列三），采用Kruskal-Wallis H检验评估组间差异；对NC与AD二元对立队列（队列二与队列四），采用双尾Mann-Whitney U秩和检验。上述三项指标在每个队列中均独立检验。若某一指标在特定队列内所有受试者中取值无变异，则不予检验。描述性统计量以均值±标准差及中位数形式报告。双尾P值小于0.05视为差异具有统计学意义。</w:t>
      </w:r>
    </w:p>
    <w:p w14:paraId="00100026">
      <w:pPr>
        <w:pStyle w:val="2"/>
        <w:ind w:left="0" w:firstLine="0" w:firstLineChars="0"/>
      </w:pPr>
      <w:r>
        <w:rPr>
          <w:b/>
          <w:sz w:val="32"/>
        </w:rPr>
        <w:t>结果</w:t>
      </w:r>
    </w:p>
    <w:p w14:paraId="00100028">
      <w:pPr>
        <w:pStyle w:val="3"/>
        <w:ind w:left="0" w:firstLine="0" w:firstLineChars="0"/>
      </w:pPr>
      <w:r>
        <w:rPr>
          <w:b/>
          <w:sz w:val="28"/>
        </w:rPr>
        <w:t>各队列sORF数量的描述性统计</w:t>
      </w:r>
    </w:p>
    <w:p w14:paraId="0010002A">
      <w:pPr>
        <w:ind w:left="0" w:firstLineChars="200"/>
      </w:pPr>
      <w:r>
        <w:t>四个分析队列中各诊断组的sORF数量描述性统计结果见表1。在匹配265例队列的五阶段比较中，各组单位基因组sORF数（sORF_per_MAG）介于104 693.8至114 555.0之间，组间极差为9 861，相对差异为9.4%。在全476例队列中，该指标介于108 545.9至114 529.3之间，组间极差进一步缩小至5 983，相对差异为5.5%。作为对照，单个代表基因组之间的sORF产出量相差达21.3倍，远超任何组间差异的幅度。</w:t>
      </w:r>
    </w:p>
    <w:p w14:paraId="28A585FE">
      <w:pPr>
        <w:rPr>
          <w:rFonts w:ascii="Times New Roman" w:hAnsi="Times New Roman" w:eastAsia="黑体"/>
          <w:b w:val="0"/>
          <w:sz w:val="21"/>
        </w:rPr>
      </w:pPr>
      <w:r>
        <w:rPr>
          <w:rFonts w:ascii="Times New Roman" w:hAnsi="Times New Roman" w:eastAsia="黑体"/>
          <w:b w:val="0"/>
          <w:sz w:val="21"/>
        </w:rPr>
        <w:br w:type="page"/>
      </w:r>
    </w:p>
    <w:p w14:paraId="0010003A">
      <w:pPr>
        <w:spacing w:before="240" w:after="120"/>
        <w:ind w:left="0" w:firstLineChars="0"/>
        <w:jc w:val="center"/>
      </w:pPr>
      <w:r>
        <w:rPr>
          <w:rFonts w:ascii="Times New Roman" w:hAnsi="Times New Roman" w:eastAsia="黑体"/>
          <w:b w:val="0"/>
          <w:sz w:val="21"/>
        </w:rPr>
        <w:t>表1  四个分析队列中各诊断组sORF数量的描述性统计</w:t>
      </w:r>
    </w:p>
    <w:tbl>
      <w:tblPr>
        <w:tblStyle w:val="4"/>
        <w:tblW w:w="5000" w:type="pct"/>
        <w:jc w:val="center"/>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404"/>
        <w:gridCol w:w="592"/>
        <w:gridCol w:w="413"/>
        <w:gridCol w:w="1026"/>
        <w:gridCol w:w="2120"/>
        <w:gridCol w:w="2771"/>
      </w:tblGrid>
      <w:tr w14:paraId="5476CAF2">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single" w:color="000000" w:sz="12" w:space="0"/>
              <w:left w:val="nil"/>
              <w:bottom w:val="single" w:color="000000" w:sz="6" w:space="0"/>
              <w:right w:val="nil"/>
              <w:insideH w:val="nil"/>
              <w:insideV w:val="nil"/>
            </w:tcBorders>
          </w:tcPr>
          <w:p w14:paraId="0010003C">
            <w:pPr>
              <w:spacing w:before="40" w:after="40" w:line="240" w:lineRule="auto"/>
              <w:ind w:left="0" w:firstLine="0"/>
              <w:jc w:val="center"/>
            </w:pPr>
            <w:r>
              <w:rPr>
                <w:rFonts w:ascii="Times New Roman" w:hAnsi="Times New Roman" w:eastAsia="宋体"/>
                <w:b/>
                <w:sz w:val="21"/>
              </w:rPr>
              <w:t>队列</w:t>
            </w:r>
          </w:p>
        </w:tc>
        <w:tc>
          <w:tcPr>
            <w:tcBorders>
              <w:top w:val="single" w:color="000000" w:sz="12" w:space="0"/>
              <w:left w:val="nil"/>
              <w:bottom w:val="single" w:color="000000" w:sz="6" w:space="0"/>
              <w:right w:val="nil"/>
              <w:insideH w:val="nil"/>
              <w:insideV w:val="nil"/>
            </w:tcBorders>
          </w:tcPr>
          <w:p w14:paraId="0010003E">
            <w:pPr>
              <w:spacing w:before="40" w:after="40" w:line="240" w:lineRule="auto"/>
              <w:ind w:left="0" w:firstLine="0"/>
              <w:jc w:val="center"/>
            </w:pPr>
            <w:r>
              <w:rPr>
                <w:rFonts w:ascii="Times New Roman" w:hAnsi="Times New Roman" w:eastAsia="宋体"/>
                <w:b/>
                <w:sz w:val="21"/>
              </w:rPr>
              <w:t>诊断组</w:t>
            </w:r>
          </w:p>
        </w:tc>
        <w:tc>
          <w:tcPr>
            <w:tcBorders>
              <w:top w:val="single" w:color="000000" w:sz="12" w:space="0"/>
              <w:left w:val="nil"/>
              <w:bottom w:val="single" w:color="000000" w:sz="6" w:space="0"/>
              <w:right w:val="nil"/>
              <w:insideH w:val="nil"/>
              <w:insideV w:val="nil"/>
            </w:tcBorders>
          </w:tcPr>
          <w:p w14:paraId="00100040">
            <w:pPr>
              <w:spacing w:before="40" w:after="40" w:line="240" w:lineRule="auto"/>
              <w:ind w:left="0" w:firstLine="0"/>
              <w:jc w:val="center"/>
            </w:pPr>
            <w:r>
              <w:rPr>
                <w:rFonts w:ascii="Times New Roman" w:hAnsi="Times New Roman" w:eastAsia="宋体"/>
                <w:b/>
                <w:sz w:val="21"/>
              </w:rPr>
              <w:t>例数</w:t>
            </w:r>
          </w:p>
        </w:tc>
        <w:tc>
          <w:tcPr>
            <w:tcBorders>
              <w:top w:val="single" w:color="000000" w:sz="12" w:space="0"/>
              <w:left w:val="nil"/>
              <w:bottom w:val="single" w:color="000000" w:sz="6" w:space="0"/>
              <w:right w:val="nil"/>
              <w:insideH w:val="nil"/>
              <w:insideV w:val="nil"/>
            </w:tcBorders>
          </w:tcPr>
          <w:p w14:paraId="00100042">
            <w:pPr>
              <w:spacing w:before="40" w:after="40" w:line="240" w:lineRule="auto"/>
              <w:ind w:left="0" w:firstLine="0"/>
              <w:jc w:val="center"/>
            </w:pPr>
            <w:r>
              <w:rPr>
                <w:rFonts w:ascii="Times New Roman" w:hAnsi="Times New Roman" w:eastAsia="宋体"/>
                <w:b/>
                <w:sz w:val="21"/>
              </w:rPr>
              <w:t>代表基因组数</w:t>
            </w:r>
          </w:p>
        </w:tc>
        <w:tc>
          <w:tcPr>
            <w:tcBorders>
              <w:top w:val="single" w:color="000000" w:sz="12" w:space="0"/>
              <w:left w:val="nil"/>
              <w:bottom w:val="single" w:color="000000" w:sz="6" w:space="0"/>
              <w:right w:val="nil"/>
              <w:insideH w:val="nil"/>
              <w:insideV w:val="nil"/>
            </w:tcBorders>
          </w:tcPr>
          <w:p w14:paraId="00100044">
            <w:pPr>
              <w:spacing w:before="40" w:after="40" w:line="240" w:lineRule="auto"/>
              <w:ind w:left="0" w:firstLine="0"/>
              <w:jc w:val="center"/>
            </w:pPr>
            <w:r>
              <w:rPr>
                <w:rFonts w:ascii="Times New Roman" w:hAnsi="Times New Roman" w:eastAsia="宋体"/>
                <w:b/>
                <w:sz w:val="21"/>
              </w:rPr>
              <w:t>sORF总数（均值±标准差）</w:t>
            </w:r>
          </w:p>
        </w:tc>
        <w:tc>
          <w:tcPr>
            <w:tcBorders>
              <w:top w:val="single" w:color="000000" w:sz="12" w:space="0"/>
              <w:left w:val="nil"/>
              <w:bottom w:val="single" w:color="000000" w:sz="6" w:space="0"/>
              <w:right w:val="nil"/>
              <w:insideH w:val="nil"/>
              <w:insideV w:val="nil"/>
            </w:tcBorders>
          </w:tcPr>
          <w:p w14:paraId="00100046">
            <w:pPr>
              <w:spacing w:before="40" w:after="40" w:line="240" w:lineRule="auto"/>
              <w:ind w:left="0" w:firstLine="0"/>
              <w:jc w:val="center"/>
            </w:pPr>
            <w:r>
              <w:rPr>
                <w:rFonts w:ascii="Times New Roman" w:hAnsi="Times New Roman" w:eastAsia="宋体"/>
                <w:b/>
                <w:sz w:val="21"/>
              </w:rPr>
              <w:t>单位基因组sORF数（均值±标准差）</w:t>
            </w:r>
          </w:p>
        </w:tc>
      </w:tr>
      <w:tr w14:paraId="05C31CE0">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48">
            <w:pPr>
              <w:spacing w:before="40" w:after="40" w:line="240" w:lineRule="auto"/>
              <w:ind w:left="0" w:firstLine="0"/>
              <w:jc w:val="center"/>
            </w:pPr>
            <w:r>
              <w:rPr>
                <w:rFonts w:ascii="Times New Roman" w:hAnsi="Times New Roman" w:eastAsia="宋体"/>
                <w:b w:val="0"/>
                <w:sz w:val="21"/>
              </w:rPr>
              <w:t>队列一 匹配265例</w:t>
            </w:r>
          </w:p>
        </w:tc>
        <w:tc>
          <w:tcPr>
            <w:tcBorders>
              <w:top w:val="nil"/>
              <w:left w:val="nil"/>
              <w:bottom w:val="nil"/>
              <w:right w:val="nil"/>
              <w:insideH w:val="nil"/>
              <w:insideV w:val="nil"/>
            </w:tcBorders>
          </w:tcPr>
          <w:p w14:paraId="0010004A">
            <w:pPr>
              <w:spacing w:before="40" w:after="40" w:line="240" w:lineRule="auto"/>
              <w:ind w:left="0" w:firstLine="0"/>
              <w:jc w:val="center"/>
            </w:pPr>
            <w:r>
              <w:rPr>
                <w:rFonts w:ascii="Times New Roman" w:hAnsi="Times New Roman" w:eastAsia="宋体"/>
                <w:b w:val="0"/>
                <w:sz w:val="21"/>
              </w:rPr>
              <w:t>NC</w:t>
            </w:r>
          </w:p>
        </w:tc>
        <w:tc>
          <w:tcPr>
            <w:tcBorders>
              <w:top w:val="nil"/>
              <w:left w:val="nil"/>
              <w:bottom w:val="nil"/>
              <w:right w:val="nil"/>
              <w:insideH w:val="nil"/>
              <w:insideV w:val="nil"/>
            </w:tcBorders>
          </w:tcPr>
          <w:p w14:paraId="0010004C">
            <w:pPr>
              <w:spacing w:before="40" w:after="40" w:line="240" w:lineRule="auto"/>
              <w:ind w:left="0" w:firstLine="0"/>
              <w:jc w:val="center"/>
            </w:pPr>
            <w:r>
              <w:rPr>
                <w:rFonts w:ascii="Times New Roman" w:hAnsi="Times New Roman" w:eastAsia="宋体"/>
                <w:b w:val="0"/>
                <w:sz w:val="21"/>
              </w:rPr>
              <w:t>51</w:t>
            </w:r>
          </w:p>
        </w:tc>
        <w:tc>
          <w:tcPr>
            <w:tcBorders>
              <w:top w:val="nil"/>
              <w:left w:val="nil"/>
              <w:bottom w:val="nil"/>
              <w:right w:val="nil"/>
              <w:insideH w:val="nil"/>
              <w:insideV w:val="nil"/>
            </w:tcBorders>
          </w:tcPr>
          <w:p w14:paraId="0010004E">
            <w:pPr>
              <w:spacing w:before="40" w:after="40" w:line="240" w:lineRule="auto"/>
              <w:ind w:left="0" w:firstLine="0"/>
              <w:jc w:val="center"/>
            </w:pPr>
            <w:r>
              <w:rPr>
                <w:rFonts w:ascii="Times New Roman" w:hAnsi="Times New Roman" w:eastAsia="宋体"/>
                <w:b w:val="0"/>
                <w:sz w:val="21"/>
              </w:rPr>
              <w:t>214</w:t>
            </w:r>
          </w:p>
        </w:tc>
        <w:tc>
          <w:tcPr>
            <w:tcBorders>
              <w:top w:val="nil"/>
              <w:left w:val="nil"/>
              <w:bottom w:val="nil"/>
              <w:right w:val="nil"/>
              <w:insideH w:val="nil"/>
              <w:insideV w:val="nil"/>
            </w:tcBorders>
          </w:tcPr>
          <w:p w14:paraId="00100050">
            <w:pPr>
              <w:spacing w:before="40" w:after="40" w:line="240" w:lineRule="auto"/>
              <w:ind w:left="0" w:firstLine="0"/>
              <w:jc w:val="center"/>
            </w:pPr>
            <w:r>
              <w:rPr>
                <w:rFonts w:ascii="Times New Roman" w:hAnsi="Times New Roman" w:eastAsia="宋体"/>
                <w:b w:val="0"/>
                <w:sz w:val="21"/>
              </w:rPr>
              <w:t>499113.4 ± 349679.5</w:t>
            </w:r>
          </w:p>
        </w:tc>
        <w:tc>
          <w:tcPr>
            <w:tcBorders>
              <w:top w:val="nil"/>
              <w:left w:val="nil"/>
              <w:bottom w:val="nil"/>
              <w:right w:val="nil"/>
              <w:insideH w:val="nil"/>
              <w:insideV w:val="nil"/>
            </w:tcBorders>
          </w:tcPr>
          <w:p w14:paraId="00100052">
            <w:pPr>
              <w:spacing w:before="40" w:after="40" w:line="240" w:lineRule="auto"/>
              <w:ind w:left="0" w:firstLine="0"/>
              <w:jc w:val="center"/>
            </w:pPr>
            <w:r>
              <w:rPr>
                <w:rFonts w:ascii="Times New Roman" w:hAnsi="Times New Roman" w:eastAsia="宋体"/>
                <w:b w:val="0"/>
                <w:sz w:val="21"/>
              </w:rPr>
              <w:t>113306.7 ± 39216.8</w:t>
            </w:r>
          </w:p>
        </w:tc>
      </w:tr>
      <w:tr w14:paraId="507E1A3F">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54">
            <w:pPr>
              <w:spacing w:before="40" w:after="40" w:line="240" w:lineRule="auto"/>
              <w:ind w:left="0" w:firstLine="0"/>
              <w:jc w:val="center"/>
            </w:pPr>
          </w:p>
        </w:tc>
        <w:tc>
          <w:tcPr>
            <w:tcBorders>
              <w:top w:val="nil"/>
              <w:left w:val="nil"/>
              <w:bottom w:val="nil"/>
              <w:right w:val="nil"/>
              <w:insideH w:val="nil"/>
              <w:insideV w:val="nil"/>
            </w:tcBorders>
          </w:tcPr>
          <w:p w14:paraId="00100056">
            <w:pPr>
              <w:spacing w:before="40" w:after="40" w:line="240" w:lineRule="auto"/>
              <w:ind w:left="0" w:firstLine="0"/>
              <w:jc w:val="center"/>
            </w:pPr>
            <w:r>
              <w:rPr>
                <w:rFonts w:ascii="Times New Roman" w:hAnsi="Times New Roman" w:eastAsia="宋体"/>
                <w:b w:val="0"/>
                <w:sz w:val="21"/>
              </w:rPr>
              <w:t>SCS</w:t>
            </w:r>
          </w:p>
        </w:tc>
        <w:tc>
          <w:tcPr>
            <w:tcBorders>
              <w:top w:val="nil"/>
              <w:left w:val="nil"/>
              <w:bottom w:val="nil"/>
              <w:right w:val="nil"/>
              <w:insideH w:val="nil"/>
              <w:insideV w:val="nil"/>
            </w:tcBorders>
          </w:tcPr>
          <w:p w14:paraId="00100058">
            <w:pPr>
              <w:spacing w:before="40" w:after="40" w:line="240" w:lineRule="auto"/>
              <w:ind w:left="0" w:firstLine="0"/>
              <w:jc w:val="center"/>
            </w:pPr>
            <w:r>
              <w:rPr>
                <w:rFonts w:ascii="Times New Roman" w:hAnsi="Times New Roman" w:eastAsia="宋体"/>
                <w:b w:val="0"/>
                <w:sz w:val="21"/>
              </w:rPr>
              <w:t>50</w:t>
            </w:r>
          </w:p>
        </w:tc>
        <w:tc>
          <w:tcPr>
            <w:tcBorders>
              <w:top w:val="nil"/>
              <w:left w:val="nil"/>
              <w:bottom w:val="nil"/>
              <w:right w:val="nil"/>
              <w:insideH w:val="nil"/>
              <w:insideV w:val="nil"/>
            </w:tcBorders>
          </w:tcPr>
          <w:p w14:paraId="0010005A">
            <w:pPr>
              <w:spacing w:before="40" w:after="40" w:line="240" w:lineRule="auto"/>
              <w:ind w:left="0" w:firstLine="0"/>
              <w:jc w:val="center"/>
            </w:pPr>
            <w:r>
              <w:rPr>
                <w:rFonts w:ascii="Times New Roman" w:hAnsi="Times New Roman" w:eastAsia="宋体"/>
                <w:b w:val="0"/>
                <w:sz w:val="21"/>
              </w:rPr>
              <w:t>220</w:t>
            </w:r>
          </w:p>
        </w:tc>
        <w:tc>
          <w:tcPr>
            <w:tcBorders>
              <w:top w:val="nil"/>
              <w:left w:val="nil"/>
              <w:bottom w:val="nil"/>
              <w:right w:val="nil"/>
              <w:insideH w:val="nil"/>
              <w:insideV w:val="nil"/>
            </w:tcBorders>
          </w:tcPr>
          <w:p w14:paraId="0010005C">
            <w:pPr>
              <w:spacing w:before="40" w:after="40" w:line="240" w:lineRule="auto"/>
              <w:ind w:left="0" w:firstLine="0"/>
              <w:jc w:val="center"/>
            </w:pPr>
            <w:r>
              <w:rPr>
                <w:rFonts w:ascii="Times New Roman" w:hAnsi="Times New Roman" w:eastAsia="宋体"/>
                <w:b w:val="0"/>
                <w:sz w:val="21"/>
              </w:rPr>
              <w:t>486297.6 ± 356202.7</w:t>
            </w:r>
          </w:p>
        </w:tc>
        <w:tc>
          <w:tcPr>
            <w:tcBorders>
              <w:top w:val="nil"/>
              <w:left w:val="nil"/>
              <w:bottom w:val="nil"/>
              <w:right w:val="nil"/>
              <w:insideH w:val="nil"/>
              <w:insideV w:val="nil"/>
            </w:tcBorders>
          </w:tcPr>
          <w:p w14:paraId="0010005E">
            <w:pPr>
              <w:spacing w:before="40" w:after="40" w:line="240" w:lineRule="auto"/>
              <w:ind w:left="0" w:firstLine="0"/>
              <w:jc w:val="center"/>
            </w:pPr>
            <w:r>
              <w:rPr>
                <w:rFonts w:ascii="Times New Roman" w:hAnsi="Times New Roman" w:eastAsia="宋体"/>
                <w:b w:val="0"/>
                <w:sz w:val="21"/>
              </w:rPr>
              <w:t>113214.0 ± 46391.6</w:t>
            </w:r>
          </w:p>
        </w:tc>
      </w:tr>
      <w:tr w14:paraId="6F7BE0A5">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60">
            <w:pPr>
              <w:spacing w:before="40" w:after="40" w:line="240" w:lineRule="auto"/>
              <w:ind w:left="0" w:firstLine="0"/>
              <w:jc w:val="center"/>
            </w:pPr>
          </w:p>
        </w:tc>
        <w:tc>
          <w:tcPr>
            <w:tcBorders>
              <w:top w:val="nil"/>
              <w:left w:val="nil"/>
              <w:bottom w:val="nil"/>
              <w:right w:val="nil"/>
              <w:insideH w:val="nil"/>
              <w:insideV w:val="nil"/>
            </w:tcBorders>
          </w:tcPr>
          <w:p w14:paraId="00100062">
            <w:pPr>
              <w:spacing w:before="40" w:after="40" w:line="240" w:lineRule="auto"/>
              <w:ind w:left="0" w:firstLine="0"/>
              <w:jc w:val="center"/>
            </w:pPr>
            <w:r>
              <w:rPr>
                <w:rFonts w:ascii="Times New Roman" w:hAnsi="Times New Roman" w:eastAsia="宋体"/>
                <w:b w:val="0"/>
                <w:sz w:val="21"/>
              </w:rPr>
              <w:t>SCD</w:t>
            </w:r>
          </w:p>
        </w:tc>
        <w:tc>
          <w:tcPr>
            <w:tcBorders>
              <w:top w:val="nil"/>
              <w:left w:val="nil"/>
              <w:bottom w:val="nil"/>
              <w:right w:val="nil"/>
              <w:insideH w:val="nil"/>
              <w:insideV w:val="nil"/>
            </w:tcBorders>
          </w:tcPr>
          <w:p w14:paraId="00100064">
            <w:pPr>
              <w:spacing w:before="40" w:after="40" w:line="240" w:lineRule="auto"/>
              <w:ind w:left="0" w:firstLine="0"/>
              <w:jc w:val="center"/>
            </w:pPr>
            <w:r>
              <w:rPr>
                <w:rFonts w:ascii="Times New Roman" w:hAnsi="Times New Roman" w:eastAsia="宋体"/>
                <w:b w:val="0"/>
                <w:sz w:val="21"/>
              </w:rPr>
              <w:t>52</w:t>
            </w:r>
          </w:p>
        </w:tc>
        <w:tc>
          <w:tcPr>
            <w:tcBorders>
              <w:top w:val="nil"/>
              <w:left w:val="nil"/>
              <w:bottom w:val="nil"/>
              <w:right w:val="nil"/>
              <w:insideH w:val="nil"/>
              <w:insideV w:val="nil"/>
            </w:tcBorders>
          </w:tcPr>
          <w:p w14:paraId="00100066">
            <w:pPr>
              <w:spacing w:before="40" w:after="40" w:line="240" w:lineRule="auto"/>
              <w:ind w:left="0" w:firstLine="0"/>
              <w:jc w:val="center"/>
            </w:pPr>
            <w:r>
              <w:rPr>
                <w:rFonts w:ascii="Times New Roman" w:hAnsi="Times New Roman" w:eastAsia="宋体"/>
                <w:b w:val="0"/>
                <w:sz w:val="21"/>
              </w:rPr>
              <w:t>237</w:t>
            </w:r>
          </w:p>
        </w:tc>
        <w:tc>
          <w:tcPr>
            <w:tcBorders>
              <w:top w:val="nil"/>
              <w:left w:val="nil"/>
              <w:bottom w:val="nil"/>
              <w:right w:val="nil"/>
              <w:insideH w:val="nil"/>
              <w:insideV w:val="nil"/>
            </w:tcBorders>
          </w:tcPr>
          <w:p w14:paraId="00100068">
            <w:pPr>
              <w:spacing w:before="40" w:after="40" w:line="240" w:lineRule="auto"/>
              <w:ind w:left="0" w:firstLine="0"/>
              <w:jc w:val="center"/>
            </w:pPr>
            <w:r>
              <w:rPr>
                <w:rFonts w:ascii="Times New Roman" w:hAnsi="Times New Roman" w:eastAsia="宋体"/>
                <w:b w:val="0"/>
                <w:sz w:val="21"/>
              </w:rPr>
              <w:t>504676.5 ± 458839.8</w:t>
            </w:r>
          </w:p>
        </w:tc>
        <w:tc>
          <w:tcPr>
            <w:tcBorders>
              <w:top w:val="nil"/>
              <w:left w:val="nil"/>
              <w:bottom w:val="nil"/>
              <w:right w:val="nil"/>
              <w:insideH w:val="nil"/>
              <w:insideV w:val="nil"/>
            </w:tcBorders>
          </w:tcPr>
          <w:p w14:paraId="0010006A">
            <w:pPr>
              <w:spacing w:before="40" w:after="40" w:line="240" w:lineRule="auto"/>
              <w:ind w:left="0" w:firstLine="0"/>
              <w:jc w:val="center"/>
            </w:pPr>
            <w:r>
              <w:rPr>
                <w:rFonts w:ascii="Times New Roman" w:hAnsi="Times New Roman" w:eastAsia="宋体"/>
                <w:b w:val="0"/>
                <w:sz w:val="21"/>
              </w:rPr>
              <w:t>104693.8 ± 40532.0</w:t>
            </w:r>
          </w:p>
        </w:tc>
      </w:tr>
      <w:tr w14:paraId="06C4FB58">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6C">
            <w:pPr>
              <w:spacing w:before="40" w:after="40" w:line="240" w:lineRule="auto"/>
              <w:ind w:left="0" w:firstLine="0"/>
              <w:jc w:val="center"/>
            </w:pPr>
          </w:p>
        </w:tc>
        <w:tc>
          <w:tcPr>
            <w:tcBorders>
              <w:top w:val="nil"/>
              <w:left w:val="nil"/>
              <w:bottom w:val="nil"/>
              <w:right w:val="nil"/>
              <w:insideH w:val="nil"/>
              <w:insideV w:val="nil"/>
            </w:tcBorders>
          </w:tcPr>
          <w:p w14:paraId="0010006E">
            <w:pPr>
              <w:spacing w:before="40" w:after="40" w:line="240" w:lineRule="auto"/>
              <w:ind w:left="0" w:firstLine="0"/>
              <w:jc w:val="center"/>
            </w:pPr>
            <w:r>
              <w:rPr>
                <w:rFonts w:ascii="Times New Roman" w:hAnsi="Times New Roman" w:eastAsia="宋体"/>
                <w:b w:val="0"/>
                <w:sz w:val="21"/>
              </w:rPr>
              <w:t>MCI</w:t>
            </w:r>
          </w:p>
        </w:tc>
        <w:tc>
          <w:tcPr>
            <w:tcBorders>
              <w:top w:val="nil"/>
              <w:left w:val="nil"/>
              <w:bottom w:val="nil"/>
              <w:right w:val="nil"/>
              <w:insideH w:val="nil"/>
              <w:insideV w:val="nil"/>
            </w:tcBorders>
          </w:tcPr>
          <w:p w14:paraId="00100070">
            <w:pPr>
              <w:spacing w:before="40" w:after="40" w:line="240" w:lineRule="auto"/>
              <w:ind w:left="0" w:firstLine="0"/>
              <w:jc w:val="center"/>
            </w:pPr>
            <w:r>
              <w:rPr>
                <w:rFonts w:ascii="Times New Roman" w:hAnsi="Times New Roman" w:eastAsia="宋体"/>
                <w:b w:val="0"/>
                <w:sz w:val="21"/>
              </w:rPr>
              <w:t>51</w:t>
            </w:r>
          </w:p>
        </w:tc>
        <w:tc>
          <w:tcPr>
            <w:tcBorders>
              <w:top w:val="nil"/>
              <w:left w:val="nil"/>
              <w:bottom w:val="nil"/>
              <w:right w:val="nil"/>
              <w:insideH w:val="nil"/>
              <w:insideV w:val="nil"/>
            </w:tcBorders>
          </w:tcPr>
          <w:p w14:paraId="00100072">
            <w:pPr>
              <w:spacing w:before="40" w:after="40" w:line="240" w:lineRule="auto"/>
              <w:ind w:left="0" w:firstLine="0"/>
              <w:jc w:val="center"/>
            </w:pPr>
            <w:r>
              <w:rPr>
                <w:rFonts w:ascii="Times New Roman" w:hAnsi="Times New Roman" w:eastAsia="宋体"/>
                <w:b w:val="0"/>
                <w:sz w:val="21"/>
              </w:rPr>
              <w:t>181</w:t>
            </w:r>
          </w:p>
        </w:tc>
        <w:tc>
          <w:tcPr>
            <w:tcBorders>
              <w:top w:val="nil"/>
              <w:left w:val="nil"/>
              <w:bottom w:val="nil"/>
              <w:right w:val="nil"/>
              <w:insideH w:val="nil"/>
              <w:insideV w:val="nil"/>
            </w:tcBorders>
          </w:tcPr>
          <w:p w14:paraId="00100074">
            <w:pPr>
              <w:spacing w:before="40" w:after="40" w:line="240" w:lineRule="auto"/>
              <w:ind w:left="0" w:firstLine="0"/>
              <w:jc w:val="center"/>
            </w:pPr>
            <w:r>
              <w:rPr>
                <w:rFonts w:ascii="Times New Roman" w:hAnsi="Times New Roman" w:eastAsia="宋体"/>
                <w:b w:val="0"/>
                <w:sz w:val="21"/>
              </w:rPr>
              <w:t>391241.5 ± 279788.4</w:t>
            </w:r>
          </w:p>
        </w:tc>
        <w:tc>
          <w:tcPr>
            <w:tcBorders>
              <w:top w:val="nil"/>
              <w:left w:val="nil"/>
              <w:bottom w:val="nil"/>
              <w:right w:val="nil"/>
              <w:insideH w:val="nil"/>
              <w:insideV w:val="nil"/>
            </w:tcBorders>
          </w:tcPr>
          <w:p w14:paraId="00100076">
            <w:pPr>
              <w:spacing w:before="40" w:after="40" w:line="240" w:lineRule="auto"/>
              <w:ind w:left="0" w:firstLine="0"/>
              <w:jc w:val="center"/>
            </w:pPr>
            <w:r>
              <w:rPr>
                <w:rFonts w:ascii="Times New Roman" w:hAnsi="Times New Roman" w:eastAsia="宋体"/>
                <w:b w:val="0"/>
                <w:sz w:val="21"/>
              </w:rPr>
              <w:t>108738.2 ± 35670.7</w:t>
            </w:r>
          </w:p>
        </w:tc>
      </w:tr>
      <w:tr w14:paraId="3A18815A">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78">
            <w:pPr>
              <w:spacing w:before="40" w:after="40" w:line="240" w:lineRule="auto"/>
              <w:ind w:left="0" w:firstLine="0"/>
              <w:jc w:val="center"/>
            </w:pPr>
          </w:p>
        </w:tc>
        <w:tc>
          <w:tcPr>
            <w:tcBorders>
              <w:top w:val="nil"/>
              <w:left w:val="nil"/>
              <w:bottom w:val="nil"/>
              <w:right w:val="nil"/>
              <w:insideH w:val="nil"/>
              <w:insideV w:val="nil"/>
            </w:tcBorders>
          </w:tcPr>
          <w:p w14:paraId="0010007A">
            <w:pPr>
              <w:spacing w:before="40" w:after="40" w:line="240" w:lineRule="auto"/>
              <w:ind w:left="0" w:firstLine="0"/>
              <w:jc w:val="center"/>
            </w:pPr>
            <w:r>
              <w:rPr>
                <w:rFonts w:ascii="Times New Roman" w:hAnsi="Times New Roman" w:eastAsia="宋体"/>
                <w:b w:val="0"/>
                <w:sz w:val="21"/>
              </w:rPr>
              <w:t>AD</w:t>
            </w:r>
          </w:p>
        </w:tc>
        <w:tc>
          <w:tcPr>
            <w:tcBorders>
              <w:top w:val="nil"/>
              <w:left w:val="nil"/>
              <w:bottom w:val="nil"/>
              <w:right w:val="nil"/>
              <w:insideH w:val="nil"/>
              <w:insideV w:val="nil"/>
            </w:tcBorders>
          </w:tcPr>
          <w:p w14:paraId="0010007C">
            <w:pPr>
              <w:spacing w:before="40" w:after="40" w:line="240" w:lineRule="auto"/>
              <w:ind w:left="0" w:firstLine="0"/>
              <w:jc w:val="center"/>
            </w:pPr>
            <w:r>
              <w:rPr>
                <w:rFonts w:ascii="Times New Roman" w:hAnsi="Times New Roman" w:eastAsia="宋体"/>
                <w:b w:val="0"/>
                <w:sz w:val="21"/>
              </w:rPr>
              <w:t>51</w:t>
            </w:r>
          </w:p>
        </w:tc>
        <w:tc>
          <w:tcPr>
            <w:tcBorders>
              <w:top w:val="nil"/>
              <w:left w:val="nil"/>
              <w:bottom w:val="nil"/>
              <w:right w:val="nil"/>
              <w:insideH w:val="nil"/>
              <w:insideV w:val="nil"/>
            </w:tcBorders>
          </w:tcPr>
          <w:p w14:paraId="0010007E">
            <w:pPr>
              <w:spacing w:before="40" w:after="40" w:line="240" w:lineRule="auto"/>
              <w:ind w:left="0" w:firstLine="0"/>
              <w:jc w:val="center"/>
            </w:pPr>
            <w:r>
              <w:rPr>
                <w:rFonts w:ascii="Times New Roman" w:hAnsi="Times New Roman" w:eastAsia="宋体"/>
                <w:b w:val="0"/>
                <w:sz w:val="21"/>
              </w:rPr>
              <w:t>242</w:t>
            </w:r>
          </w:p>
        </w:tc>
        <w:tc>
          <w:tcPr>
            <w:tcBorders>
              <w:top w:val="nil"/>
              <w:left w:val="nil"/>
              <w:bottom w:val="nil"/>
              <w:right w:val="nil"/>
              <w:insideH w:val="nil"/>
              <w:insideV w:val="nil"/>
            </w:tcBorders>
          </w:tcPr>
          <w:p w14:paraId="00100080">
            <w:pPr>
              <w:spacing w:before="40" w:after="40" w:line="240" w:lineRule="auto"/>
              <w:ind w:left="0" w:firstLine="0"/>
              <w:jc w:val="center"/>
            </w:pPr>
            <w:r>
              <w:rPr>
                <w:rFonts w:ascii="Times New Roman" w:hAnsi="Times New Roman" w:eastAsia="宋体"/>
                <w:b w:val="0"/>
                <w:sz w:val="21"/>
              </w:rPr>
              <w:t>524193.2 ± 395902.1</w:t>
            </w:r>
          </w:p>
        </w:tc>
        <w:tc>
          <w:tcPr>
            <w:tcBorders>
              <w:top w:val="nil"/>
              <w:left w:val="nil"/>
              <w:bottom w:val="nil"/>
              <w:right w:val="nil"/>
              <w:insideH w:val="nil"/>
              <w:insideV w:val="nil"/>
            </w:tcBorders>
          </w:tcPr>
          <w:p w14:paraId="00100082">
            <w:pPr>
              <w:spacing w:before="40" w:after="40" w:line="240" w:lineRule="auto"/>
              <w:ind w:left="0" w:firstLine="0"/>
              <w:jc w:val="center"/>
            </w:pPr>
            <w:r>
              <w:rPr>
                <w:rFonts w:ascii="Times New Roman" w:hAnsi="Times New Roman" w:eastAsia="宋体"/>
                <w:b w:val="0"/>
                <w:sz w:val="21"/>
              </w:rPr>
              <w:t>114555.0 ± 51117.8</w:t>
            </w:r>
          </w:p>
        </w:tc>
      </w:tr>
      <w:tr w14:paraId="150B4ED5">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84">
            <w:pPr>
              <w:spacing w:before="40" w:after="40" w:line="240" w:lineRule="auto"/>
              <w:ind w:left="0" w:firstLine="0"/>
              <w:jc w:val="center"/>
            </w:pPr>
            <w:r>
              <w:rPr>
                <w:rFonts w:ascii="Times New Roman" w:hAnsi="Times New Roman" w:eastAsia="宋体"/>
                <w:b w:val="0"/>
                <w:sz w:val="21"/>
              </w:rPr>
              <w:t>队列二 匹配265例</w:t>
            </w:r>
          </w:p>
        </w:tc>
        <w:tc>
          <w:tcPr>
            <w:tcBorders>
              <w:top w:val="nil"/>
              <w:left w:val="nil"/>
              <w:bottom w:val="nil"/>
              <w:right w:val="nil"/>
              <w:insideH w:val="nil"/>
              <w:insideV w:val="nil"/>
            </w:tcBorders>
          </w:tcPr>
          <w:p w14:paraId="00100086">
            <w:pPr>
              <w:spacing w:before="40" w:after="40" w:line="240" w:lineRule="auto"/>
              <w:ind w:left="0" w:firstLine="0"/>
              <w:jc w:val="center"/>
            </w:pPr>
            <w:r>
              <w:rPr>
                <w:rFonts w:ascii="Times New Roman" w:hAnsi="Times New Roman" w:eastAsia="宋体"/>
                <w:b w:val="0"/>
                <w:sz w:val="21"/>
              </w:rPr>
              <w:t>NC</w:t>
            </w:r>
          </w:p>
        </w:tc>
        <w:tc>
          <w:tcPr>
            <w:tcBorders>
              <w:top w:val="nil"/>
              <w:left w:val="nil"/>
              <w:bottom w:val="nil"/>
              <w:right w:val="nil"/>
              <w:insideH w:val="nil"/>
              <w:insideV w:val="nil"/>
            </w:tcBorders>
          </w:tcPr>
          <w:p w14:paraId="00100088">
            <w:pPr>
              <w:spacing w:before="40" w:after="40" w:line="240" w:lineRule="auto"/>
              <w:ind w:left="0" w:firstLine="0"/>
              <w:jc w:val="center"/>
            </w:pPr>
            <w:r>
              <w:rPr>
                <w:rFonts w:ascii="Times New Roman" w:hAnsi="Times New Roman" w:eastAsia="宋体"/>
                <w:b w:val="0"/>
                <w:sz w:val="21"/>
              </w:rPr>
              <w:t>51</w:t>
            </w:r>
          </w:p>
        </w:tc>
        <w:tc>
          <w:tcPr>
            <w:tcBorders>
              <w:top w:val="nil"/>
              <w:left w:val="nil"/>
              <w:bottom w:val="nil"/>
              <w:right w:val="nil"/>
              <w:insideH w:val="nil"/>
              <w:insideV w:val="nil"/>
            </w:tcBorders>
          </w:tcPr>
          <w:p w14:paraId="0010008A">
            <w:pPr>
              <w:spacing w:before="40" w:after="40" w:line="240" w:lineRule="auto"/>
              <w:ind w:left="0" w:firstLine="0"/>
              <w:jc w:val="center"/>
            </w:pPr>
            <w:r>
              <w:rPr>
                <w:rFonts w:ascii="Times New Roman" w:hAnsi="Times New Roman" w:eastAsia="宋体"/>
                <w:b w:val="0"/>
                <w:sz w:val="21"/>
              </w:rPr>
              <w:t>214</w:t>
            </w:r>
          </w:p>
        </w:tc>
        <w:tc>
          <w:tcPr>
            <w:tcBorders>
              <w:top w:val="nil"/>
              <w:left w:val="nil"/>
              <w:bottom w:val="nil"/>
              <w:right w:val="nil"/>
              <w:insideH w:val="nil"/>
              <w:insideV w:val="nil"/>
            </w:tcBorders>
          </w:tcPr>
          <w:p w14:paraId="0010008C">
            <w:pPr>
              <w:spacing w:before="40" w:after="40" w:line="240" w:lineRule="auto"/>
              <w:ind w:left="0" w:firstLine="0"/>
              <w:jc w:val="center"/>
            </w:pPr>
            <w:r>
              <w:rPr>
                <w:rFonts w:ascii="Times New Roman" w:hAnsi="Times New Roman" w:eastAsia="宋体"/>
                <w:b w:val="0"/>
                <w:sz w:val="21"/>
              </w:rPr>
              <w:t>499113.4 ± 349679.5</w:t>
            </w:r>
          </w:p>
        </w:tc>
        <w:tc>
          <w:tcPr>
            <w:tcBorders>
              <w:top w:val="nil"/>
              <w:left w:val="nil"/>
              <w:bottom w:val="nil"/>
              <w:right w:val="nil"/>
              <w:insideH w:val="nil"/>
              <w:insideV w:val="nil"/>
            </w:tcBorders>
          </w:tcPr>
          <w:p w14:paraId="0010008E">
            <w:pPr>
              <w:spacing w:before="40" w:after="40" w:line="240" w:lineRule="auto"/>
              <w:ind w:left="0" w:firstLine="0"/>
              <w:jc w:val="center"/>
            </w:pPr>
            <w:r>
              <w:rPr>
                <w:rFonts w:ascii="Times New Roman" w:hAnsi="Times New Roman" w:eastAsia="宋体"/>
                <w:b w:val="0"/>
                <w:sz w:val="21"/>
              </w:rPr>
              <w:t>113306.7 ± 39216.8</w:t>
            </w:r>
          </w:p>
        </w:tc>
      </w:tr>
      <w:tr w14:paraId="533890DF">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90">
            <w:pPr>
              <w:spacing w:before="40" w:after="40" w:line="240" w:lineRule="auto"/>
              <w:ind w:left="0" w:firstLine="0"/>
              <w:jc w:val="center"/>
            </w:pPr>
          </w:p>
        </w:tc>
        <w:tc>
          <w:tcPr>
            <w:tcBorders>
              <w:top w:val="nil"/>
              <w:left w:val="nil"/>
              <w:bottom w:val="nil"/>
              <w:right w:val="nil"/>
              <w:insideH w:val="nil"/>
              <w:insideV w:val="nil"/>
            </w:tcBorders>
          </w:tcPr>
          <w:p w14:paraId="00100092">
            <w:pPr>
              <w:spacing w:before="40" w:after="40" w:line="240" w:lineRule="auto"/>
              <w:ind w:left="0" w:firstLine="0"/>
              <w:jc w:val="center"/>
            </w:pPr>
            <w:r>
              <w:rPr>
                <w:rFonts w:ascii="Times New Roman" w:hAnsi="Times New Roman" w:eastAsia="宋体"/>
                <w:b w:val="0"/>
                <w:sz w:val="21"/>
              </w:rPr>
              <w:t>AD</w:t>
            </w:r>
          </w:p>
        </w:tc>
        <w:tc>
          <w:tcPr>
            <w:tcBorders>
              <w:top w:val="nil"/>
              <w:left w:val="nil"/>
              <w:bottom w:val="nil"/>
              <w:right w:val="nil"/>
              <w:insideH w:val="nil"/>
              <w:insideV w:val="nil"/>
            </w:tcBorders>
          </w:tcPr>
          <w:p w14:paraId="00100094">
            <w:pPr>
              <w:spacing w:before="40" w:after="40" w:line="240" w:lineRule="auto"/>
              <w:ind w:left="0" w:firstLine="0"/>
              <w:jc w:val="center"/>
            </w:pPr>
            <w:r>
              <w:rPr>
                <w:rFonts w:ascii="Times New Roman" w:hAnsi="Times New Roman" w:eastAsia="宋体"/>
                <w:b w:val="0"/>
                <w:sz w:val="21"/>
              </w:rPr>
              <w:t>51</w:t>
            </w:r>
          </w:p>
        </w:tc>
        <w:tc>
          <w:tcPr>
            <w:tcBorders>
              <w:top w:val="nil"/>
              <w:left w:val="nil"/>
              <w:bottom w:val="nil"/>
              <w:right w:val="nil"/>
              <w:insideH w:val="nil"/>
              <w:insideV w:val="nil"/>
            </w:tcBorders>
          </w:tcPr>
          <w:p w14:paraId="00100096">
            <w:pPr>
              <w:spacing w:before="40" w:after="40" w:line="240" w:lineRule="auto"/>
              <w:ind w:left="0" w:firstLine="0"/>
              <w:jc w:val="center"/>
            </w:pPr>
            <w:r>
              <w:rPr>
                <w:rFonts w:ascii="Times New Roman" w:hAnsi="Times New Roman" w:eastAsia="宋体"/>
                <w:b w:val="0"/>
                <w:sz w:val="21"/>
              </w:rPr>
              <w:t>242</w:t>
            </w:r>
          </w:p>
        </w:tc>
        <w:tc>
          <w:tcPr>
            <w:tcBorders>
              <w:top w:val="nil"/>
              <w:left w:val="nil"/>
              <w:bottom w:val="nil"/>
              <w:right w:val="nil"/>
              <w:insideH w:val="nil"/>
              <w:insideV w:val="nil"/>
            </w:tcBorders>
          </w:tcPr>
          <w:p w14:paraId="00100098">
            <w:pPr>
              <w:spacing w:before="40" w:after="40" w:line="240" w:lineRule="auto"/>
              <w:ind w:left="0" w:firstLine="0"/>
              <w:jc w:val="center"/>
            </w:pPr>
            <w:r>
              <w:rPr>
                <w:rFonts w:ascii="Times New Roman" w:hAnsi="Times New Roman" w:eastAsia="宋体"/>
                <w:b w:val="0"/>
                <w:sz w:val="21"/>
              </w:rPr>
              <w:t>524193.2 ± 395902.1</w:t>
            </w:r>
          </w:p>
        </w:tc>
        <w:tc>
          <w:tcPr>
            <w:tcBorders>
              <w:top w:val="nil"/>
              <w:left w:val="nil"/>
              <w:bottom w:val="nil"/>
              <w:right w:val="nil"/>
              <w:insideH w:val="nil"/>
              <w:insideV w:val="nil"/>
            </w:tcBorders>
          </w:tcPr>
          <w:p w14:paraId="0010009A">
            <w:pPr>
              <w:spacing w:before="40" w:after="40" w:line="240" w:lineRule="auto"/>
              <w:ind w:left="0" w:firstLine="0"/>
              <w:jc w:val="center"/>
            </w:pPr>
            <w:r>
              <w:rPr>
                <w:rFonts w:ascii="Times New Roman" w:hAnsi="Times New Roman" w:eastAsia="宋体"/>
                <w:b w:val="0"/>
                <w:sz w:val="21"/>
              </w:rPr>
              <w:t>114555.0 ± 51117.8</w:t>
            </w:r>
          </w:p>
        </w:tc>
      </w:tr>
      <w:tr w14:paraId="681AD403">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9C">
            <w:pPr>
              <w:spacing w:before="40" w:after="40" w:line="240" w:lineRule="auto"/>
              <w:ind w:left="0" w:firstLine="0"/>
              <w:jc w:val="center"/>
            </w:pPr>
            <w:r>
              <w:rPr>
                <w:rFonts w:ascii="Times New Roman" w:hAnsi="Times New Roman" w:eastAsia="宋体"/>
                <w:b w:val="0"/>
                <w:sz w:val="21"/>
              </w:rPr>
              <w:t>队列三 全476例</w:t>
            </w:r>
          </w:p>
        </w:tc>
        <w:tc>
          <w:tcPr>
            <w:tcBorders>
              <w:top w:val="nil"/>
              <w:left w:val="nil"/>
              <w:bottom w:val="nil"/>
              <w:right w:val="nil"/>
              <w:insideH w:val="nil"/>
              <w:insideV w:val="nil"/>
            </w:tcBorders>
          </w:tcPr>
          <w:p w14:paraId="0010009E">
            <w:pPr>
              <w:spacing w:before="40" w:after="40" w:line="240" w:lineRule="auto"/>
              <w:ind w:left="0" w:firstLine="0"/>
              <w:jc w:val="center"/>
            </w:pPr>
            <w:r>
              <w:rPr>
                <w:rFonts w:ascii="Times New Roman" w:hAnsi="Times New Roman" w:eastAsia="宋体"/>
                <w:b w:val="0"/>
                <w:sz w:val="21"/>
              </w:rPr>
              <w:t>NC</w:t>
            </w:r>
          </w:p>
        </w:tc>
        <w:tc>
          <w:tcPr>
            <w:tcBorders>
              <w:top w:val="nil"/>
              <w:left w:val="nil"/>
              <w:bottom w:val="nil"/>
              <w:right w:val="nil"/>
              <w:insideH w:val="nil"/>
              <w:insideV w:val="nil"/>
            </w:tcBorders>
          </w:tcPr>
          <w:p w14:paraId="001000A0">
            <w:pPr>
              <w:spacing w:before="40" w:after="40" w:line="240" w:lineRule="auto"/>
              <w:ind w:left="0" w:firstLine="0"/>
              <w:jc w:val="center"/>
            </w:pPr>
            <w:r>
              <w:rPr>
                <w:rFonts w:ascii="Times New Roman" w:hAnsi="Times New Roman" w:eastAsia="宋体"/>
                <w:b w:val="0"/>
                <w:sz w:val="21"/>
              </w:rPr>
              <w:t>61</w:t>
            </w:r>
          </w:p>
        </w:tc>
        <w:tc>
          <w:tcPr>
            <w:tcBorders>
              <w:top w:val="nil"/>
              <w:left w:val="nil"/>
              <w:bottom w:val="nil"/>
              <w:right w:val="nil"/>
              <w:insideH w:val="nil"/>
              <w:insideV w:val="nil"/>
            </w:tcBorders>
          </w:tcPr>
          <w:p w14:paraId="001000A2">
            <w:pPr>
              <w:spacing w:before="40" w:after="40" w:line="240" w:lineRule="auto"/>
              <w:ind w:left="0" w:firstLine="0"/>
              <w:jc w:val="center"/>
            </w:pPr>
            <w:r>
              <w:rPr>
                <w:rFonts w:ascii="Times New Roman" w:hAnsi="Times New Roman" w:eastAsia="宋体"/>
                <w:b w:val="0"/>
                <w:sz w:val="21"/>
              </w:rPr>
              <w:t>252</w:t>
            </w:r>
          </w:p>
        </w:tc>
        <w:tc>
          <w:tcPr>
            <w:tcBorders>
              <w:top w:val="nil"/>
              <w:left w:val="nil"/>
              <w:bottom w:val="nil"/>
              <w:right w:val="nil"/>
              <w:insideH w:val="nil"/>
              <w:insideV w:val="nil"/>
            </w:tcBorders>
          </w:tcPr>
          <w:p w14:paraId="001000A4">
            <w:pPr>
              <w:spacing w:before="40" w:after="40" w:line="240" w:lineRule="auto"/>
              <w:ind w:left="0" w:firstLine="0"/>
              <w:jc w:val="center"/>
            </w:pPr>
            <w:r>
              <w:rPr>
                <w:rFonts w:ascii="Times New Roman" w:hAnsi="Times New Roman" w:eastAsia="宋体"/>
                <w:b w:val="0"/>
                <w:sz w:val="21"/>
              </w:rPr>
              <w:t>494483.2 ± 351913.4</w:t>
            </w:r>
          </w:p>
        </w:tc>
        <w:tc>
          <w:tcPr>
            <w:tcBorders>
              <w:top w:val="nil"/>
              <w:left w:val="nil"/>
              <w:bottom w:val="nil"/>
              <w:right w:val="nil"/>
              <w:insideH w:val="nil"/>
              <w:insideV w:val="nil"/>
            </w:tcBorders>
          </w:tcPr>
          <w:p w14:paraId="001000A6">
            <w:pPr>
              <w:spacing w:before="40" w:after="40" w:line="240" w:lineRule="auto"/>
              <w:ind w:left="0" w:firstLine="0"/>
              <w:jc w:val="center"/>
            </w:pPr>
            <w:r>
              <w:rPr>
                <w:rFonts w:ascii="Times New Roman" w:hAnsi="Times New Roman" w:eastAsia="宋体"/>
                <w:b w:val="0"/>
                <w:sz w:val="21"/>
              </w:rPr>
              <w:t>114529.3 ± 44832.6</w:t>
            </w:r>
          </w:p>
        </w:tc>
      </w:tr>
      <w:tr w14:paraId="3DD4CE23">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A8">
            <w:pPr>
              <w:spacing w:before="40" w:after="40" w:line="240" w:lineRule="auto"/>
              <w:ind w:left="0" w:firstLine="0"/>
              <w:jc w:val="center"/>
            </w:pPr>
          </w:p>
        </w:tc>
        <w:tc>
          <w:tcPr>
            <w:tcBorders>
              <w:top w:val="nil"/>
              <w:left w:val="nil"/>
              <w:bottom w:val="nil"/>
              <w:right w:val="nil"/>
              <w:insideH w:val="nil"/>
              <w:insideV w:val="nil"/>
            </w:tcBorders>
          </w:tcPr>
          <w:p w14:paraId="001000AA">
            <w:pPr>
              <w:spacing w:before="40" w:after="40" w:line="240" w:lineRule="auto"/>
              <w:ind w:left="0" w:firstLine="0"/>
              <w:jc w:val="center"/>
            </w:pPr>
            <w:r>
              <w:rPr>
                <w:rFonts w:ascii="Times New Roman" w:hAnsi="Times New Roman" w:eastAsia="宋体"/>
                <w:b w:val="0"/>
                <w:sz w:val="21"/>
              </w:rPr>
              <w:t>SCS</w:t>
            </w:r>
          </w:p>
        </w:tc>
        <w:tc>
          <w:tcPr>
            <w:tcBorders>
              <w:top w:val="nil"/>
              <w:left w:val="nil"/>
              <w:bottom w:val="nil"/>
              <w:right w:val="nil"/>
              <w:insideH w:val="nil"/>
              <w:insideV w:val="nil"/>
            </w:tcBorders>
          </w:tcPr>
          <w:p w14:paraId="001000AC">
            <w:pPr>
              <w:spacing w:before="40" w:after="40" w:line="240" w:lineRule="auto"/>
              <w:ind w:left="0" w:firstLine="0"/>
              <w:jc w:val="center"/>
            </w:pPr>
            <w:r>
              <w:rPr>
                <w:rFonts w:ascii="Times New Roman" w:hAnsi="Times New Roman" w:eastAsia="宋体"/>
                <w:b w:val="0"/>
                <w:sz w:val="21"/>
              </w:rPr>
              <w:t>78</w:t>
            </w:r>
          </w:p>
        </w:tc>
        <w:tc>
          <w:tcPr>
            <w:tcBorders>
              <w:top w:val="nil"/>
              <w:left w:val="nil"/>
              <w:bottom w:val="nil"/>
              <w:right w:val="nil"/>
              <w:insideH w:val="nil"/>
              <w:insideV w:val="nil"/>
            </w:tcBorders>
          </w:tcPr>
          <w:p w14:paraId="001000AE">
            <w:pPr>
              <w:spacing w:before="40" w:after="40" w:line="240" w:lineRule="auto"/>
              <w:ind w:left="0" w:firstLine="0"/>
              <w:jc w:val="center"/>
            </w:pPr>
            <w:r>
              <w:rPr>
                <w:rFonts w:ascii="Times New Roman" w:hAnsi="Times New Roman" w:eastAsia="宋体"/>
                <w:b w:val="0"/>
                <w:sz w:val="21"/>
              </w:rPr>
              <w:t>343</w:t>
            </w:r>
          </w:p>
        </w:tc>
        <w:tc>
          <w:tcPr>
            <w:tcBorders>
              <w:top w:val="nil"/>
              <w:left w:val="nil"/>
              <w:bottom w:val="nil"/>
              <w:right w:val="nil"/>
              <w:insideH w:val="nil"/>
              <w:insideV w:val="nil"/>
            </w:tcBorders>
          </w:tcPr>
          <w:p w14:paraId="001000B0">
            <w:pPr>
              <w:spacing w:before="40" w:after="40" w:line="240" w:lineRule="auto"/>
              <w:ind w:left="0" w:firstLine="0"/>
              <w:jc w:val="center"/>
            </w:pPr>
            <w:r>
              <w:rPr>
                <w:rFonts w:ascii="Times New Roman" w:hAnsi="Times New Roman" w:eastAsia="宋体"/>
                <w:b w:val="0"/>
                <w:sz w:val="21"/>
              </w:rPr>
              <w:t>475821.4 ± 342579.7</w:t>
            </w:r>
          </w:p>
        </w:tc>
        <w:tc>
          <w:tcPr>
            <w:tcBorders>
              <w:top w:val="nil"/>
              <w:left w:val="nil"/>
              <w:bottom w:val="nil"/>
              <w:right w:val="nil"/>
              <w:insideH w:val="nil"/>
              <w:insideV w:val="nil"/>
            </w:tcBorders>
          </w:tcPr>
          <w:p w14:paraId="001000B2">
            <w:pPr>
              <w:spacing w:before="40" w:after="40" w:line="240" w:lineRule="auto"/>
              <w:ind w:left="0" w:firstLine="0"/>
              <w:jc w:val="center"/>
            </w:pPr>
            <w:r>
              <w:rPr>
                <w:rFonts w:ascii="Times New Roman" w:hAnsi="Times New Roman" w:eastAsia="宋体"/>
                <w:b w:val="0"/>
                <w:sz w:val="21"/>
              </w:rPr>
              <w:t>110000.2 ± 41944.1</w:t>
            </w:r>
          </w:p>
        </w:tc>
      </w:tr>
      <w:tr w14:paraId="3292DDBF">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B4">
            <w:pPr>
              <w:spacing w:before="40" w:after="40" w:line="240" w:lineRule="auto"/>
              <w:ind w:left="0" w:firstLine="0"/>
              <w:jc w:val="center"/>
            </w:pPr>
          </w:p>
        </w:tc>
        <w:tc>
          <w:tcPr>
            <w:tcBorders>
              <w:top w:val="nil"/>
              <w:left w:val="nil"/>
              <w:bottom w:val="nil"/>
              <w:right w:val="nil"/>
              <w:insideH w:val="nil"/>
              <w:insideV w:val="nil"/>
            </w:tcBorders>
          </w:tcPr>
          <w:p w14:paraId="001000B6">
            <w:pPr>
              <w:spacing w:before="40" w:after="40" w:line="240" w:lineRule="auto"/>
              <w:ind w:left="0" w:firstLine="0"/>
              <w:jc w:val="center"/>
            </w:pPr>
            <w:r>
              <w:rPr>
                <w:rFonts w:ascii="Times New Roman" w:hAnsi="Times New Roman" w:eastAsia="宋体"/>
                <w:b w:val="0"/>
                <w:sz w:val="21"/>
              </w:rPr>
              <w:t>SCD</w:t>
            </w:r>
          </w:p>
        </w:tc>
        <w:tc>
          <w:tcPr>
            <w:tcBorders>
              <w:top w:val="nil"/>
              <w:left w:val="nil"/>
              <w:bottom w:val="nil"/>
              <w:right w:val="nil"/>
              <w:insideH w:val="nil"/>
              <w:insideV w:val="nil"/>
            </w:tcBorders>
          </w:tcPr>
          <w:p w14:paraId="001000B8">
            <w:pPr>
              <w:spacing w:before="40" w:after="40" w:line="240" w:lineRule="auto"/>
              <w:ind w:left="0" w:firstLine="0"/>
              <w:jc w:val="center"/>
            </w:pPr>
            <w:r>
              <w:rPr>
                <w:rFonts w:ascii="Times New Roman" w:hAnsi="Times New Roman" w:eastAsia="宋体"/>
                <w:b w:val="0"/>
                <w:sz w:val="21"/>
              </w:rPr>
              <w:t>89</w:t>
            </w:r>
          </w:p>
        </w:tc>
        <w:tc>
          <w:tcPr>
            <w:tcBorders>
              <w:top w:val="nil"/>
              <w:left w:val="nil"/>
              <w:bottom w:val="nil"/>
              <w:right w:val="nil"/>
              <w:insideH w:val="nil"/>
              <w:insideV w:val="nil"/>
            </w:tcBorders>
          </w:tcPr>
          <w:p w14:paraId="001000BA">
            <w:pPr>
              <w:spacing w:before="40" w:after="40" w:line="240" w:lineRule="auto"/>
              <w:ind w:left="0" w:firstLine="0"/>
              <w:jc w:val="center"/>
            </w:pPr>
            <w:r>
              <w:rPr>
                <w:rFonts w:ascii="Times New Roman" w:hAnsi="Times New Roman" w:eastAsia="宋体"/>
                <w:b w:val="0"/>
                <w:sz w:val="21"/>
              </w:rPr>
              <w:t>380</w:t>
            </w:r>
          </w:p>
        </w:tc>
        <w:tc>
          <w:tcPr>
            <w:tcBorders>
              <w:top w:val="nil"/>
              <w:left w:val="nil"/>
              <w:bottom w:val="nil"/>
              <w:right w:val="nil"/>
              <w:insideH w:val="nil"/>
              <w:insideV w:val="nil"/>
            </w:tcBorders>
          </w:tcPr>
          <w:p w14:paraId="001000BC">
            <w:pPr>
              <w:spacing w:before="40" w:after="40" w:line="240" w:lineRule="auto"/>
              <w:ind w:left="0" w:firstLine="0"/>
              <w:jc w:val="center"/>
            </w:pPr>
            <w:r>
              <w:rPr>
                <w:rFonts w:ascii="Times New Roman" w:hAnsi="Times New Roman" w:eastAsia="宋体"/>
                <w:b w:val="0"/>
                <w:sz w:val="21"/>
              </w:rPr>
              <w:t>473542.4 ± 386729.5</w:t>
            </w:r>
          </w:p>
        </w:tc>
        <w:tc>
          <w:tcPr>
            <w:tcBorders>
              <w:top w:val="nil"/>
              <w:left w:val="nil"/>
              <w:bottom w:val="nil"/>
              <w:right w:val="nil"/>
              <w:insideH w:val="nil"/>
              <w:insideV w:val="nil"/>
            </w:tcBorders>
          </w:tcPr>
          <w:p w14:paraId="001000BE">
            <w:pPr>
              <w:spacing w:before="40" w:after="40" w:line="240" w:lineRule="auto"/>
              <w:ind w:left="0" w:firstLine="0"/>
              <w:jc w:val="center"/>
            </w:pPr>
            <w:r>
              <w:rPr>
                <w:rFonts w:ascii="Times New Roman" w:hAnsi="Times New Roman" w:eastAsia="宋体"/>
                <w:b w:val="0"/>
                <w:sz w:val="21"/>
              </w:rPr>
              <w:t>108545.9 ± 41447.3</w:t>
            </w:r>
          </w:p>
        </w:tc>
      </w:tr>
      <w:tr w14:paraId="3E917173">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C0">
            <w:pPr>
              <w:spacing w:before="40" w:after="40" w:line="240" w:lineRule="auto"/>
              <w:ind w:left="0" w:firstLine="0"/>
              <w:jc w:val="center"/>
            </w:pPr>
          </w:p>
        </w:tc>
        <w:tc>
          <w:tcPr>
            <w:tcBorders>
              <w:top w:val="nil"/>
              <w:left w:val="nil"/>
              <w:bottom w:val="nil"/>
              <w:right w:val="nil"/>
              <w:insideH w:val="nil"/>
              <w:insideV w:val="nil"/>
            </w:tcBorders>
          </w:tcPr>
          <w:p w14:paraId="001000C2">
            <w:pPr>
              <w:spacing w:before="40" w:after="40" w:line="240" w:lineRule="auto"/>
              <w:ind w:left="0" w:firstLine="0"/>
              <w:jc w:val="center"/>
            </w:pPr>
            <w:r>
              <w:rPr>
                <w:rFonts w:ascii="Times New Roman" w:hAnsi="Times New Roman" w:eastAsia="宋体"/>
                <w:b w:val="0"/>
                <w:sz w:val="21"/>
              </w:rPr>
              <w:t>MCI</w:t>
            </w:r>
          </w:p>
        </w:tc>
        <w:tc>
          <w:tcPr>
            <w:tcBorders>
              <w:top w:val="nil"/>
              <w:left w:val="nil"/>
              <w:bottom w:val="nil"/>
              <w:right w:val="nil"/>
              <w:insideH w:val="nil"/>
              <w:insideV w:val="nil"/>
            </w:tcBorders>
          </w:tcPr>
          <w:p w14:paraId="001000C4">
            <w:pPr>
              <w:spacing w:before="40" w:after="40" w:line="240" w:lineRule="auto"/>
              <w:ind w:left="0" w:firstLine="0"/>
              <w:jc w:val="center"/>
            </w:pPr>
            <w:r>
              <w:rPr>
                <w:rFonts w:ascii="Times New Roman" w:hAnsi="Times New Roman" w:eastAsia="宋体"/>
                <w:b w:val="0"/>
                <w:sz w:val="21"/>
              </w:rPr>
              <w:t>114</w:t>
            </w:r>
          </w:p>
        </w:tc>
        <w:tc>
          <w:tcPr>
            <w:tcBorders>
              <w:top w:val="nil"/>
              <w:left w:val="nil"/>
              <w:bottom w:val="nil"/>
              <w:right w:val="nil"/>
              <w:insideH w:val="nil"/>
              <w:insideV w:val="nil"/>
            </w:tcBorders>
          </w:tcPr>
          <w:p w14:paraId="001000C6">
            <w:pPr>
              <w:spacing w:before="40" w:after="40" w:line="240" w:lineRule="auto"/>
              <w:ind w:left="0" w:firstLine="0"/>
              <w:jc w:val="center"/>
            </w:pPr>
            <w:r>
              <w:rPr>
                <w:rFonts w:ascii="Times New Roman" w:hAnsi="Times New Roman" w:eastAsia="宋体"/>
                <w:b w:val="0"/>
                <w:sz w:val="21"/>
              </w:rPr>
              <w:t>447</w:t>
            </w:r>
          </w:p>
        </w:tc>
        <w:tc>
          <w:tcPr>
            <w:tcBorders>
              <w:top w:val="nil"/>
              <w:left w:val="nil"/>
              <w:bottom w:val="nil"/>
              <w:right w:val="nil"/>
              <w:insideH w:val="nil"/>
              <w:insideV w:val="nil"/>
            </w:tcBorders>
          </w:tcPr>
          <w:p w14:paraId="001000C8">
            <w:pPr>
              <w:spacing w:before="40" w:after="40" w:line="240" w:lineRule="auto"/>
              <w:ind w:left="0" w:firstLine="0"/>
              <w:jc w:val="center"/>
            </w:pPr>
            <w:r>
              <w:rPr>
                <w:rFonts w:ascii="Times New Roman" w:hAnsi="Times New Roman" w:eastAsia="宋体"/>
                <w:b w:val="0"/>
                <w:sz w:val="21"/>
              </w:rPr>
              <w:t>430833.2 ± 283543.2</w:t>
            </w:r>
          </w:p>
        </w:tc>
        <w:tc>
          <w:tcPr>
            <w:tcBorders>
              <w:top w:val="nil"/>
              <w:left w:val="nil"/>
              <w:bottom w:val="nil"/>
              <w:right w:val="nil"/>
              <w:insideH w:val="nil"/>
              <w:insideV w:val="nil"/>
            </w:tcBorders>
          </w:tcPr>
          <w:p w14:paraId="001000CA">
            <w:pPr>
              <w:spacing w:before="40" w:after="40" w:line="240" w:lineRule="auto"/>
              <w:ind w:left="0" w:firstLine="0"/>
              <w:jc w:val="center"/>
            </w:pPr>
            <w:r>
              <w:rPr>
                <w:rFonts w:ascii="Times New Roman" w:hAnsi="Times New Roman" w:eastAsia="宋体"/>
                <w:b w:val="0"/>
                <w:sz w:val="21"/>
              </w:rPr>
              <w:t>114283.5 ± 48208.6</w:t>
            </w:r>
          </w:p>
        </w:tc>
      </w:tr>
      <w:tr w14:paraId="416292BE">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CC">
            <w:pPr>
              <w:spacing w:before="40" w:after="40" w:line="240" w:lineRule="auto"/>
              <w:ind w:left="0" w:firstLine="0"/>
              <w:jc w:val="center"/>
            </w:pPr>
          </w:p>
        </w:tc>
        <w:tc>
          <w:tcPr>
            <w:tcBorders>
              <w:top w:val="nil"/>
              <w:left w:val="nil"/>
              <w:bottom w:val="nil"/>
              <w:right w:val="nil"/>
              <w:insideH w:val="nil"/>
              <w:insideV w:val="nil"/>
            </w:tcBorders>
          </w:tcPr>
          <w:p w14:paraId="001000CE">
            <w:pPr>
              <w:spacing w:before="40" w:after="40" w:line="240" w:lineRule="auto"/>
              <w:ind w:left="0" w:firstLine="0"/>
              <w:jc w:val="center"/>
            </w:pPr>
            <w:r>
              <w:rPr>
                <w:rFonts w:ascii="Times New Roman" w:hAnsi="Times New Roman" w:eastAsia="宋体"/>
                <w:b w:val="0"/>
                <w:sz w:val="21"/>
              </w:rPr>
              <w:t>AD</w:t>
            </w:r>
          </w:p>
        </w:tc>
        <w:tc>
          <w:tcPr>
            <w:tcBorders>
              <w:top w:val="nil"/>
              <w:left w:val="nil"/>
              <w:bottom w:val="nil"/>
              <w:right w:val="nil"/>
              <w:insideH w:val="nil"/>
              <w:insideV w:val="nil"/>
            </w:tcBorders>
          </w:tcPr>
          <w:p w14:paraId="001000D0">
            <w:pPr>
              <w:spacing w:before="40" w:after="40" w:line="240" w:lineRule="auto"/>
              <w:ind w:left="0" w:firstLine="0"/>
              <w:jc w:val="center"/>
            </w:pPr>
            <w:r>
              <w:rPr>
                <w:rFonts w:ascii="Times New Roman" w:hAnsi="Times New Roman" w:eastAsia="宋体"/>
                <w:b w:val="0"/>
                <w:sz w:val="21"/>
              </w:rPr>
              <w:t>117</w:t>
            </w:r>
          </w:p>
        </w:tc>
        <w:tc>
          <w:tcPr>
            <w:tcBorders>
              <w:top w:val="nil"/>
              <w:left w:val="nil"/>
              <w:bottom w:val="nil"/>
              <w:right w:val="nil"/>
              <w:insideH w:val="nil"/>
              <w:insideV w:val="nil"/>
            </w:tcBorders>
          </w:tcPr>
          <w:p w14:paraId="001000D2">
            <w:pPr>
              <w:spacing w:before="40" w:after="40" w:line="240" w:lineRule="auto"/>
              <w:ind w:left="0" w:firstLine="0"/>
              <w:jc w:val="center"/>
            </w:pPr>
            <w:r>
              <w:rPr>
                <w:rFonts w:ascii="Times New Roman" w:hAnsi="Times New Roman" w:eastAsia="宋体"/>
                <w:b w:val="0"/>
                <w:sz w:val="21"/>
              </w:rPr>
              <w:t>549</w:t>
            </w:r>
          </w:p>
        </w:tc>
        <w:tc>
          <w:tcPr>
            <w:tcBorders>
              <w:top w:val="nil"/>
              <w:left w:val="nil"/>
              <w:bottom w:val="nil"/>
              <w:right w:val="nil"/>
              <w:insideH w:val="nil"/>
              <w:insideV w:val="nil"/>
            </w:tcBorders>
          </w:tcPr>
          <w:p w14:paraId="001000D4">
            <w:pPr>
              <w:spacing w:before="40" w:after="40" w:line="240" w:lineRule="auto"/>
              <w:ind w:left="0" w:firstLine="0"/>
              <w:jc w:val="center"/>
            </w:pPr>
            <w:r>
              <w:rPr>
                <w:rFonts w:ascii="Times New Roman" w:hAnsi="Times New Roman" w:eastAsia="宋体"/>
                <w:b w:val="0"/>
                <w:sz w:val="21"/>
              </w:rPr>
              <w:t>519379.7 ± 370034.3</w:t>
            </w:r>
          </w:p>
        </w:tc>
        <w:tc>
          <w:tcPr>
            <w:tcBorders>
              <w:top w:val="nil"/>
              <w:left w:val="nil"/>
              <w:bottom w:val="nil"/>
              <w:right w:val="nil"/>
              <w:insideH w:val="nil"/>
              <w:insideV w:val="nil"/>
            </w:tcBorders>
          </w:tcPr>
          <w:p w14:paraId="001000D6">
            <w:pPr>
              <w:spacing w:before="40" w:after="40" w:line="240" w:lineRule="auto"/>
              <w:ind w:left="0" w:firstLine="0"/>
              <w:jc w:val="center"/>
            </w:pPr>
            <w:r>
              <w:rPr>
                <w:rFonts w:ascii="Times New Roman" w:hAnsi="Times New Roman" w:eastAsia="宋体"/>
                <w:b w:val="0"/>
                <w:sz w:val="21"/>
              </w:rPr>
              <w:t>111582.5 ± 45370.1</w:t>
            </w:r>
          </w:p>
        </w:tc>
      </w:tr>
      <w:tr w14:paraId="2577180E">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0D8">
            <w:pPr>
              <w:spacing w:before="40" w:after="40" w:line="240" w:lineRule="auto"/>
              <w:ind w:left="0" w:firstLine="0"/>
              <w:jc w:val="center"/>
            </w:pPr>
            <w:r>
              <w:rPr>
                <w:rFonts w:ascii="Times New Roman" w:hAnsi="Times New Roman" w:eastAsia="宋体"/>
                <w:b w:val="0"/>
                <w:sz w:val="21"/>
              </w:rPr>
              <w:t>队列四 全476例</w:t>
            </w:r>
          </w:p>
        </w:tc>
        <w:tc>
          <w:tcPr>
            <w:tcBorders>
              <w:top w:val="nil"/>
              <w:left w:val="nil"/>
              <w:bottom w:val="nil"/>
              <w:right w:val="nil"/>
              <w:insideH w:val="nil"/>
              <w:insideV w:val="nil"/>
            </w:tcBorders>
          </w:tcPr>
          <w:p w14:paraId="001000DA">
            <w:pPr>
              <w:spacing w:before="40" w:after="40" w:line="240" w:lineRule="auto"/>
              <w:ind w:left="0" w:firstLine="0"/>
              <w:jc w:val="center"/>
            </w:pPr>
            <w:r>
              <w:rPr>
                <w:rFonts w:ascii="Times New Roman" w:hAnsi="Times New Roman" w:eastAsia="宋体"/>
                <w:b w:val="0"/>
                <w:sz w:val="21"/>
              </w:rPr>
              <w:t>NC</w:t>
            </w:r>
          </w:p>
        </w:tc>
        <w:tc>
          <w:tcPr>
            <w:tcBorders>
              <w:top w:val="nil"/>
              <w:left w:val="nil"/>
              <w:bottom w:val="nil"/>
              <w:right w:val="nil"/>
              <w:insideH w:val="nil"/>
              <w:insideV w:val="nil"/>
            </w:tcBorders>
          </w:tcPr>
          <w:p w14:paraId="001000DC">
            <w:pPr>
              <w:spacing w:before="40" w:after="40" w:line="240" w:lineRule="auto"/>
              <w:ind w:left="0" w:firstLine="0"/>
              <w:jc w:val="center"/>
            </w:pPr>
            <w:r>
              <w:rPr>
                <w:rFonts w:ascii="Times New Roman" w:hAnsi="Times New Roman" w:eastAsia="宋体"/>
                <w:b w:val="0"/>
                <w:sz w:val="21"/>
              </w:rPr>
              <w:t>61</w:t>
            </w:r>
          </w:p>
        </w:tc>
        <w:tc>
          <w:tcPr>
            <w:tcBorders>
              <w:top w:val="nil"/>
              <w:left w:val="nil"/>
              <w:bottom w:val="nil"/>
              <w:right w:val="nil"/>
              <w:insideH w:val="nil"/>
              <w:insideV w:val="nil"/>
            </w:tcBorders>
          </w:tcPr>
          <w:p w14:paraId="001000DE">
            <w:pPr>
              <w:spacing w:before="40" w:after="40" w:line="240" w:lineRule="auto"/>
              <w:ind w:left="0" w:firstLine="0"/>
              <w:jc w:val="center"/>
            </w:pPr>
            <w:r>
              <w:rPr>
                <w:rFonts w:ascii="Times New Roman" w:hAnsi="Times New Roman" w:eastAsia="宋体"/>
                <w:b w:val="0"/>
                <w:sz w:val="21"/>
              </w:rPr>
              <w:t>252</w:t>
            </w:r>
          </w:p>
        </w:tc>
        <w:tc>
          <w:tcPr>
            <w:tcBorders>
              <w:top w:val="nil"/>
              <w:left w:val="nil"/>
              <w:bottom w:val="nil"/>
              <w:right w:val="nil"/>
              <w:insideH w:val="nil"/>
              <w:insideV w:val="nil"/>
            </w:tcBorders>
          </w:tcPr>
          <w:p w14:paraId="001000E0">
            <w:pPr>
              <w:spacing w:before="40" w:after="40" w:line="240" w:lineRule="auto"/>
              <w:ind w:left="0" w:firstLine="0"/>
              <w:jc w:val="center"/>
            </w:pPr>
            <w:r>
              <w:rPr>
                <w:rFonts w:ascii="Times New Roman" w:hAnsi="Times New Roman" w:eastAsia="宋体"/>
                <w:b w:val="0"/>
                <w:sz w:val="21"/>
              </w:rPr>
              <w:t>494483.2 ± 351913.4</w:t>
            </w:r>
          </w:p>
        </w:tc>
        <w:tc>
          <w:tcPr>
            <w:tcBorders>
              <w:top w:val="nil"/>
              <w:left w:val="nil"/>
              <w:bottom w:val="nil"/>
              <w:right w:val="nil"/>
              <w:insideH w:val="nil"/>
              <w:insideV w:val="nil"/>
            </w:tcBorders>
          </w:tcPr>
          <w:p w14:paraId="001000E2">
            <w:pPr>
              <w:spacing w:before="40" w:after="40" w:line="240" w:lineRule="auto"/>
              <w:ind w:left="0" w:firstLine="0"/>
              <w:jc w:val="center"/>
            </w:pPr>
            <w:r>
              <w:rPr>
                <w:rFonts w:ascii="Times New Roman" w:hAnsi="Times New Roman" w:eastAsia="宋体"/>
                <w:b w:val="0"/>
                <w:sz w:val="21"/>
              </w:rPr>
              <w:t>114529.3 ± 44832.6</w:t>
            </w:r>
          </w:p>
        </w:tc>
      </w:tr>
      <w:tr w14:paraId="1C9BCFCF">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single" w:color="000000" w:sz="12" w:space="0"/>
              <w:right w:val="nil"/>
              <w:insideH w:val="nil"/>
              <w:insideV w:val="nil"/>
            </w:tcBorders>
          </w:tcPr>
          <w:p w14:paraId="001000E4">
            <w:pPr>
              <w:spacing w:before="40" w:after="40" w:line="240" w:lineRule="auto"/>
              <w:ind w:left="0" w:firstLine="0"/>
              <w:jc w:val="center"/>
            </w:pPr>
          </w:p>
        </w:tc>
        <w:tc>
          <w:tcPr>
            <w:tcBorders>
              <w:top w:val="nil"/>
              <w:left w:val="nil"/>
              <w:bottom w:val="single" w:color="000000" w:sz="12" w:space="0"/>
              <w:right w:val="nil"/>
              <w:insideH w:val="nil"/>
              <w:insideV w:val="nil"/>
            </w:tcBorders>
          </w:tcPr>
          <w:p w14:paraId="001000E6">
            <w:pPr>
              <w:spacing w:before="40" w:after="40" w:line="240" w:lineRule="auto"/>
              <w:ind w:left="0" w:firstLine="0"/>
              <w:jc w:val="center"/>
            </w:pPr>
            <w:r>
              <w:rPr>
                <w:rFonts w:ascii="Times New Roman" w:hAnsi="Times New Roman" w:eastAsia="宋体"/>
                <w:b w:val="0"/>
                <w:sz w:val="21"/>
              </w:rPr>
              <w:t>AD</w:t>
            </w:r>
          </w:p>
        </w:tc>
        <w:tc>
          <w:tcPr>
            <w:tcBorders>
              <w:top w:val="nil"/>
              <w:left w:val="nil"/>
              <w:bottom w:val="single" w:color="000000" w:sz="12" w:space="0"/>
              <w:right w:val="nil"/>
              <w:insideH w:val="nil"/>
              <w:insideV w:val="nil"/>
            </w:tcBorders>
          </w:tcPr>
          <w:p w14:paraId="001000E8">
            <w:pPr>
              <w:spacing w:before="40" w:after="40" w:line="240" w:lineRule="auto"/>
              <w:ind w:left="0" w:firstLine="0"/>
              <w:jc w:val="center"/>
            </w:pPr>
            <w:r>
              <w:rPr>
                <w:rFonts w:ascii="Times New Roman" w:hAnsi="Times New Roman" w:eastAsia="宋体"/>
                <w:b w:val="0"/>
                <w:sz w:val="21"/>
              </w:rPr>
              <w:t>117</w:t>
            </w:r>
          </w:p>
        </w:tc>
        <w:tc>
          <w:tcPr>
            <w:tcBorders>
              <w:top w:val="nil"/>
              <w:left w:val="nil"/>
              <w:bottom w:val="single" w:color="000000" w:sz="12" w:space="0"/>
              <w:right w:val="nil"/>
              <w:insideH w:val="nil"/>
              <w:insideV w:val="nil"/>
            </w:tcBorders>
          </w:tcPr>
          <w:p w14:paraId="001000EA">
            <w:pPr>
              <w:spacing w:before="40" w:after="40" w:line="240" w:lineRule="auto"/>
              <w:ind w:left="0" w:firstLine="0"/>
              <w:jc w:val="center"/>
            </w:pPr>
            <w:r>
              <w:rPr>
                <w:rFonts w:ascii="Times New Roman" w:hAnsi="Times New Roman" w:eastAsia="宋体"/>
                <w:b w:val="0"/>
                <w:sz w:val="21"/>
              </w:rPr>
              <w:t>549</w:t>
            </w:r>
          </w:p>
        </w:tc>
        <w:tc>
          <w:tcPr>
            <w:tcBorders>
              <w:top w:val="nil"/>
              <w:left w:val="nil"/>
              <w:bottom w:val="single" w:color="000000" w:sz="12" w:space="0"/>
              <w:right w:val="nil"/>
              <w:insideH w:val="nil"/>
              <w:insideV w:val="nil"/>
            </w:tcBorders>
          </w:tcPr>
          <w:p w14:paraId="001000EC">
            <w:pPr>
              <w:spacing w:before="40" w:after="40" w:line="240" w:lineRule="auto"/>
              <w:ind w:left="0" w:firstLine="0"/>
              <w:jc w:val="center"/>
            </w:pPr>
            <w:r>
              <w:rPr>
                <w:rFonts w:ascii="Times New Roman" w:hAnsi="Times New Roman" w:eastAsia="宋体"/>
                <w:b w:val="0"/>
                <w:sz w:val="21"/>
              </w:rPr>
              <w:t>519379.7 ± 370034.3</w:t>
            </w:r>
          </w:p>
        </w:tc>
        <w:tc>
          <w:tcPr>
            <w:tcBorders>
              <w:top w:val="nil"/>
              <w:left w:val="nil"/>
              <w:bottom w:val="single" w:color="000000" w:sz="12" w:space="0"/>
              <w:right w:val="nil"/>
              <w:insideH w:val="nil"/>
              <w:insideV w:val="nil"/>
            </w:tcBorders>
          </w:tcPr>
          <w:p w14:paraId="001000EE">
            <w:pPr>
              <w:spacing w:before="40" w:after="40" w:line="240" w:lineRule="auto"/>
              <w:ind w:left="0" w:firstLine="0"/>
              <w:jc w:val="center"/>
            </w:pPr>
            <w:r>
              <w:rPr>
                <w:rFonts w:ascii="Times New Roman" w:hAnsi="Times New Roman" w:eastAsia="宋体"/>
                <w:b w:val="0"/>
                <w:sz w:val="21"/>
              </w:rPr>
              <w:t>111582.5 ± 45370.1</w:t>
            </w:r>
          </w:p>
        </w:tc>
      </w:tr>
    </w:tbl>
    <w:p w14:paraId="0010002C">
      <w:pPr>
        <w:ind w:left="0" w:firstLineChars="200"/>
      </w:pPr>
      <w:r>
        <w:t>各组sORF总数（Total_sORF）的组间波动相对较大，匹配队列中MCI组均值最低（391 241.5），AD组最高（524 193.2）。然而该指标与各组贡献的代表基因组数（N_MAG）呈同向变化：MCI组贡献基因组数亦为最低（均值3.5），AD组最高（均值4.7）。这一同步性提示Total_sORF的组间波动主要由代表基因组数量差异所驱动，而非单位基因组编码密度的真实改变。</w:t>
      </w:r>
    </w:p>
    <w:p w14:paraId="0010002E">
      <w:pPr>
        <w:pStyle w:val="3"/>
        <w:ind w:left="0" w:firstLine="0" w:firstLineChars="0"/>
      </w:pPr>
      <w:r>
        <w:rPr>
          <w:b/>
          <w:sz w:val="28"/>
        </w:rPr>
        <w:t>组间差异的统计学检验</w:t>
      </w:r>
    </w:p>
    <w:p w14:paraId="00100030">
      <w:pPr>
        <w:ind w:left="0" w:firstLineChars="200"/>
      </w:pPr>
      <w:r>
        <w:t>四个队列中三项指标的非参数检验结果见表2。在全部12项检验中，均未观察到具有统计学意义的组间差异（P值介于0.4291至0.9786之间，均大于0.05）。</w:t>
      </w:r>
    </w:p>
    <w:p w14:paraId="2F49511D">
      <w:pPr>
        <w:rPr>
          <w:rFonts w:ascii="Times New Roman" w:hAnsi="Times New Roman" w:eastAsia="黑体"/>
          <w:b w:val="0"/>
          <w:sz w:val="21"/>
        </w:rPr>
      </w:pPr>
      <w:r>
        <w:rPr>
          <w:rFonts w:ascii="Times New Roman" w:hAnsi="Times New Roman" w:eastAsia="黑体"/>
          <w:b w:val="0"/>
          <w:sz w:val="21"/>
        </w:rPr>
        <w:br w:type="page"/>
      </w:r>
    </w:p>
    <w:p w14:paraId="001000F0">
      <w:pPr>
        <w:spacing w:before="240" w:after="120"/>
        <w:ind w:left="0" w:firstLineChars="0"/>
        <w:jc w:val="center"/>
      </w:pPr>
      <w:r>
        <w:rPr>
          <w:rFonts w:ascii="Times New Roman" w:hAnsi="Times New Roman" w:eastAsia="黑体"/>
          <w:b w:val="0"/>
          <w:sz w:val="21"/>
        </w:rPr>
        <w:t>表2  四个队列中sORF数量指标的非参数检验结果</w:t>
      </w:r>
    </w:p>
    <w:tbl>
      <w:tblPr>
        <w:tblStyle w:val="4"/>
        <w:tblW w:w="4718" w:type="pct"/>
        <w:jc w:val="center"/>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911"/>
        <w:gridCol w:w="986"/>
        <w:gridCol w:w="1596"/>
        <w:gridCol w:w="1986"/>
        <w:gridCol w:w="744"/>
        <w:gridCol w:w="633"/>
      </w:tblGrid>
      <w:tr w14:paraId="32D627B5">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single" w:color="000000" w:sz="12" w:space="0"/>
              <w:left w:val="nil"/>
              <w:bottom w:val="single" w:color="000000" w:sz="6" w:space="0"/>
              <w:right w:val="nil"/>
              <w:insideH w:val="nil"/>
              <w:insideV w:val="nil"/>
            </w:tcBorders>
          </w:tcPr>
          <w:p w14:paraId="001000F2">
            <w:pPr>
              <w:spacing w:before="40" w:after="40" w:line="240" w:lineRule="auto"/>
              <w:ind w:left="0" w:firstLine="0"/>
              <w:jc w:val="center"/>
            </w:pPr>
            <w:r>
              <w:rPr>
                <w:rFonts w:ascii="Times New Roman" w:hAnsi="Times New Roman" w:eastAsia="宋体"/>
                <w:b/>
                <w:sz w:val="21"/>
              </w:rPr>
              <w:t>队列</w:t>
            </w:r>
          </w:p>
        </w:tc>
        <w:tc>
          <w:tcPr>
            <w:tcBorders>
              <w:top w:val="single" w:color="000000" w:sz="12" w:space="0"/>
              <w:left w:val="nil"/>
              <w:bottom w:val="single" w:color="000000" w:sz="6" w:space="0"/>
              <w:right w:val="nil"/>
              <w:insideH w:val="nil"/>
              <w:insideV w:val="nil"/>
            </w:tcBorders>
          </w:tcPr>
          <w:p w14:paraId="001000F4">
            <w:pPr>
              <w:spacing w:before="40" w:after="40" w:line="240" w:lineRule="auto"/>
              <w:ind w:left="0" w:firstLine="0"/>
              <w:jc w:val="center"/>
            </w:pPr>
            <w:r>
              <w:rPr>
                <w:rFonts w:ascii="Times New Roman" w:hAnsi="Times New Roman" w:eastAsia="宋体"/>
                <w:b/>
                <w:sz w:val="21"/>
              </w:rPr>
              <w:t>比较设计</w:t>
            </w:r>
          </w:p>
        </w:tc>
        <w:tc>
          <w:tcPr>
            <w:tcBorders>
              <w:top w:val="single" w:color="000000" w:sz="12" w:space="0"/>
              <w:left w:val="nil"/>
              <w:bottom w:val="single" w:color="000000" w:sz="6" w:space="0"/>
              <w:right w:val="nil"/>
              <w:insideH w:val="nil"/>
              <w:insideV w:val="nil"/>
            </w:tcBorders>
          </w:tcPr>
          <w:p w14:paraId="001000F6">
            <w:pPr>
              <w:spacing w:before="40" w:after="40" w:line="240" w:lineRule="auto"/>
              <w:ind w:left="0" w:firstLine="0"/>
              <w:jc w:val="center"/>
            </w:pPr>
            <w:r>
              <w:rPr>
                <w:rFonts w:ascii="Times New Roman" w:hAnsi="Times New Roman" w:eastAsia="宋体"/>
                <w:b/>
                <w:sz w:val="21"/>
              </w:rPr>
              <w:t>检验方法</w:t>
            </w:r>
          </w:p>
        </w:tc>
        <w:tc>
          <w:tcPr>
            <w:tcBorders>
              <w:top w:val="single" w:color="000000" w:sz="12" w:space="0"/>
              <w:left w:val="nil"/>
              <w:bottom w:val="single" w:color="000000" w:sz="6" w:space="0"/>
              <w:right w:val="nil"/>
              <w:insideH w:val="nil"/>
              <w:insideV w:val="nil"/>
            </w:tcBorders>
          </w:tcPr>
          <w:p w14:paraId="001000F8">
            <w:pPr>
              <w:spacing w:before="40" w:after="40" w:line="240" w:lineRule="auto"/>
              <w:ind w:left="0" w:firstLine="0"/>
              <w:jc w:val="center"/>
            </w:pPr>
            <w:r>
              <w:rPr>
                <w:rFonts w:ascii="Times New Roman" w:hAnsi="Times New Roman" w:eastAsia="宋体"/>
                <w:b/>
                <w:sz w:val="21"/>
              </w:rPr>
              <w:t>统计指标</w:t>
            </w:r>
          </w:p>
        </w:tc>
        <w:tc>
          <w:tcPr>
            <w:tcBorders>
              <w:top w:val="single" w:color="000000" w:sz="12" w:space="0"/>
              <w:left w:val="nil"/>
              <w:bottom w:val="single" w:color="000000" w:sz="6" w:space="0"/>
              <w:right w:val="nil"/>
              <w:insideH w:val="nil"/>
              <w:insideV w:val="nil"/>
            </w:tcBorders>
          </w:tcPr>
          <w:p w14:paraId="001000FA">
            <w:pPr>
              <w:spacing w:before="40" w:after="40" w:line="240" w:lineRule="auto"/>
              <w:ind w:left="0" w:firstLine="0"/>
              <w:jc w:val="center"/>
            </w:pPr>
            <w:r>
              <w:rPr>
                <w:rFonts w:ascii="Times New Roman" w:hAnsi="Times New Roman" w:eastAsia="宋体"/>
                <w:b/>
                <w:sz w:val="21"/>
              </w:rPr>
              <w:t>统计量</w:t>
            </w:r>
          </w:p>
        </w:tc>
        <w:tc>
          <w:tcPr>
            <w:tcBorders>
              <w:top w:val="single" w:color="000000" w:sz="12" w:space="0"/>
              <w:left w:val="nil"/>
              <w:bottom w:val="single" w:color="000000" w:sz="6" w:space="0"/>
              <w:right w:val="nil"/>
              <w:insideH w:val="nil"/>
              <w:insideV w:val="nil"/>
            </w:tcBorders>
          </w:tcPr>
          <w:p w14:paraId="001000FC">
            <w:pPr>
              <w:spacing w:before="40" w:after="40" w:line="240" w:lineRule="auto"/>
              <w:ind w:left="0" w:firstLine="0"/>
              <w:jc w:val="center"/>
            </w:pPr>
            <w:r>
              <w:rPr>
                <w:rFonts w:ascii="Times New Roman" w:hAnsi="Times New Roman" w:eastAsia="宋体"/>
                <w:b/>
                <w:sz w:val="21"/>
              </w:rPr>
              <w:t>P值</w:t>
            </w:r>
          </w:p>
        </w:tc>
      </w:tr>
      <w:tr w14:paraId="708DC500">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00">
            <w:pPr>
              <w:spacing w:before="40" w:after="40" w:line="240" w:lineRule="auto"/>
              <w:ind w:left="0" w:firstLine="0"/>
              <w:jc w:val="center"/>
            </w:pPr>
            <w:r>
              <w:rPr>
                <w:rFonts w:ascii="Times New Roman" w:hAnsi="Times New Roman" w:eastAsia="宋体"/>
                <w:b w:val="0"/>
                <w:sz w:val="21"/>
              </w:rPr>
              <w:t>队列一 匹配265例</w:t>
            </w:r>
          </w:p>
        </w:tc>
        <w:tc>
          <w:tcPr>
            <w:tcBorders>
              <w:top w:val="nil"/>
              <w:left w:val="nil"/>
              <w:bottom w:val="nil"/>
              <w:right w:val="nil"/>
              <w:insideH w:val="nil"/>
              <w:insideV w:val="nil"/>
            </w:tcBorders>
          </w:tcPr>
          <w:p w14:paraId="00100102">
            <w:pPr>
              <w:spacing w:before="40" w:after="40" w:line="240" w:lineRule="auto"/>
              <w:ind w:left="0" w:firstLine="0"/>
              <w:jc w:val="center"/>
            </w:pPr>
            <w:r>
              <w:rPr>
                <w:rFonts w:ascii="Times New Roman" w:hAnsi="Times New Roman" w:eastAsia="宋体"/>
                <w:b w:val="0"/>
                <w:sz w:val="21"/>
              </w:rPr>
              <w:t>五阶段</w:t>
            </w:r>
          </w:p>
        </w:tc>
        <w:tc>
          <w:tcPr>
            <w:tcBorders>
              <w:top w:val="nil"/>
              <w:left w:val="nil"/>
              <w:bottom w:val="nil"/>
              <w:right w:val="nil"/>
              <w:insideH w:val="nil"/>
              <w:insideV w:val="nil"/>
            </w:tcBorders>
          </w:tcPr>
          <w:p w14:paraId="00100104">
            <w:pPr>
              <w:spacing w:before="40" w:after="40" w:line="240" w:lineRule="auto"/>
              <w:ind w:left="0" w:firstLine="0"/>
              <w:jc w:val="center"/>
            </w:pPr>
            <w:r>
              <w:rPr>
                <w:rFonts w:ascii="Times New Roman" w:hAnsi="Times New Roman" w:eastAsia="宋体"/>
                <w:b w:val="0"/>
                <w:sz w:val="21"/>
              </w:rPr>
              <w:t>Kruskal-Wallis H</w:t>
            </w:r>
          </w:p>
        </w:tc>
        <w:tc>
          <w:tcPr>
            <w:tcBorders>
              <w:top w:val="nil"/>
              <w:left w:val="nil"/>
              <w:bottom w:val="nil"/>
              <w:right w:val="nil"/>
              <w:insideH w:val="nil"/>
              <w:insideV w:val="nil"/>
            </w:tcBorders>
          </w:tcPr>
          <w:p w14:paraId="00100106">
            <w:pPr>
              <w:spacing w:before="40" w:after="40" w:line="240" w:lineRule="auto"/>
              <w:ind w:left="0" w:firstLine="0"/>
              <w:jc w:val="center"/>
            </w:pPr>
            <w:r>
              <w:rPr>
                <w:rFonts w:ascii="Times New Roman" w:hAnsi="Times New Roman" w:eastAsia="宋体"/>
                <w:b w:val="0"/>
                <w:sz w:val="21"/>
              </w:rPr>
              <w:t>sORF总数</w:t>
            </w:r>
          </w:p>
        </w:tc>
        <w:tc>
          <w:tcPr>
            <w:tcBorders>
              <w:top w:val="nil"/>
              <w:left w:val="nil"/>
              <w:bottom w:val="nil"/>
              <w:right w:val="nil"/>
              <w:insideH w:val="nil"/>
              <w:insideV w:val="nil"/>
            </w:tcBorders>
          </w:tcPr>
          <w:p w14:paraId="00100108">
            <w:pPr>
              <w:spacing w:before="40" w:after="40" w:line="240" w:lineRule="auto"/>
              <w:ind w:left="0" w:firstLine="0"/>
              <w:jc w:val="center"/>
            </w:pPr>
            <w:r>
              <w:rPr>
                <w:rFonts w:ascii="Times New Roman" w:hAnsi="Times New Roman" w:eastAsia="宋体"/>
                <w:b w:val="0"/>
                <w:sz w:val="21"/>
              </w:rPr>
              <w:t>2.93</w:t>
            </w:r>
          </w:p>
        </w:tc>
        <w:tc>
          <w:tcPr>
            <w:tcBorders>
              <w:top w:val="nil"/>
              <w:left w:val="nil"/>
              <w:bottom w:val="nil"/>
              <w:right w:val="nil"/>
              <w:insideH w:val="nil"/>
              <w:insideV w:val="nil"/>
            </w:tcBorders>
          </w:tcPr>
          <w:p w14:paraId="0010010A">
            <w:pPr>
              <w:spacing w:before="40" w:after="40" w:line="240" w:lineRule="auto"/>
              <w:ind w:left="0" w:firstLine="0"/>
              <w:jc w:val="center"/>
            </w:pPr>
            <w:r>
              <w:rPr>
                <w:rFonts w:ascii="Times New Roman" w:hAnsi="Times New Roman" w:eastAsia="宋体"/>
                <w:b w:val="0"/>
                <w:sz w:val="21"/>
              </w:rPr>
              <w:t>0.5689</w:t>
            </w:r>
          </w:p>
        </w:tc>
      </w:tr>
      <w:tr w14:paraId="043FD07D">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0E">
            <w:pPr>
              <w:spacing w:before="40" w:after="40" w:line="240" w:lineRule="auto"/>
              <w:ind w:left="0" w:firstLine="0"/>
              <w:jc w:val="center"/>
            </w:pPr>
          </w:p>
        </w:tc>
        <w:tc>
          <w:tcPr>
            <w:tcBorders>
              <w:top w:val="nil"/>
              <w:left w:val="nil"/>
              <w:bottom w:val="nil"/>
              <w:right w:val="nil"/>
              <w:insideH w:val="nil"/>
              <w:insideV w:val="nil"/>
            </w:tcBorders>
          </w:tcPr>
          <w:p w14:paraId="00100110">
            <w:pPr>
              <w:spacing w:before="40" w:after="40" w:line="240" w:lineRule="auto"/>
              <w:ind w:left="0" w:firstLine="0"/>
              <w:jc w:val="center"/>
            </w:pPr>
          </w:p>
        </w:tc>
        <w:tc>
          <w:tcPr>
            <w:tcBorders>
              <w:top w:val="nil"/>
              <w:left w:val="nil"/>
              <w:bottom w:val="nil"/>
              <w:right w:val="nil"/>
              <w:insideH w:val="nil"/>
              <w:insideV w:val="nil"/>
            </w:tcBorders>
          </w:tcPr>
          <w:p w14:paraId="00100112">
            <w:pPr>
              <w:spacing w:before="40" w:after="40" w:line="240" w:lineRule="auto"/>
              <w:ind w:left="0" w:firstLine="0"/>
              <w:jc w:val="center"/>
            </w:pPr>
          </w:p>
        </w:tc>
        <w:tc>
          <w:tcPr>
            <w:tcBorders>
              <w:top w:val="nil"/>
              <w:left w:val="nil"/>
              <w:bottom w:val="nil"/>
              <w:right w:val="nil"/>
              <w:insideH w:val="nil"/>
              <w:insideV w:val="nil"/>
            </w:tcBorders>
          </w:tcPr>
          <w:p w14:paraId="00100114">
            <w:pPr>
              <w:spacing w:before="40" w:after="40" w:line="240" w:lineRule="auto"/>
              <w:ind w:left="0" w:firstLine="0"/>
              <w:jc w:val="center"/>
            </w:pPr>
            <w:r>
              <w:rPr>
                <w:rFonts w:ascii="Times New Roman" w:hAnsi="Times New Roman" w:eastAsia="宋体"/>
                <w:b w:val="0"/>
                <w:sz w:val="21"/>
              </w:rPr>
              <w:t>单位基因组sORF数</w:t>
            </w:r>
          </w:p>
        </w:tc>
        <w:tc>
          <w:tcPr>
            <w:tcBorders>
              <w:top w:val="nil"/>
              <w:left w:val="nil"/>
              <w:bottom w:val="nil"/>
              <w:right w:val="nil"/>
              <w:insideH w:val="nil"/>
              <w:insideV w:val="nil"/>
            </w:tcBorders>
          </w:tcPr>
          <w:p w14:paraId="00100116">
            <w:pPr>
              <w:spacing w:before="40" w:after="40" w:line="240" w:lineRule="auto"/>
              <w:ind w:left="0" w:firstLine="0"/>
              <w:jc w:val="center"/>
            </w:pPr>
            <w:r>
              <w:rPr>
                <w:rFonts w:ascii="Times New Roman" w:hAnsi="Times New Roman" w:eastAsia="宋体"/>
                <w:b w:val="0"/>
                <w:sz w:val="21"/>
              </w:rPr>
              <w:t>2.01</w:t>
            </w:r>
          </w:p>
        </w:tc>
        <w:tc>
          <w:tcPr>
            <w:tcBorders>
              <w:top w:val="nil"/>
              <w:left w:val="nil"/>
              <w:bottom w:val="nil"/>
              <w:right w:val="nil"/>
              <w:insideH w:val="nil"/>
              <w:insideV w:val="nil"/>
            </w:tcBorders>
          </w:tcPr>
          <w:p w14:paraId="00100118">
            <w:pPr>
              <w:spacing w:before="40" w:after="40" w:line="240" w:lineRule="auto"/>
              <w:ind w:left="0" w:firstLine="0"/>
              <w:jc w:val="center"/>
            </w:pPr>
            <w:r>
              <w:rPr>
                <w:rFonts w:ascii="Times New Roman" w:hAnsi="Times New Roman" w:eastAsia="宋体"/>
                <w:b w:val="0"/>
                <w:sz w:val="21"/>
              </w:rPr>
              <w:t>0.7344</w:t>
            </w:r>
          </w:p>
        </w:tc>
      </w:tr>
      <w:tr w14:paraId="6EB67E99">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1C">
            <w:pPr>
              <w:spacing w:before="40" w:after="40" w:line="240" w:lineRule="auto"/>
              <w:ind w:left="0" w:firstLine="0"/>
              <w:jc w:val="center"/>
            </w:pPr>
          </w:p>
        </w:tc>
        <w:tc>
          <w:tcPr>
            <w:tcBorders>
              <w:top w:val="nil"/>
              <w:left w:val="nil"/>
              <w:bottom w:val="nil"/>
              <w:right w:val="nil"/>
              <w:insideH w:val="nil"/>
              <w:insideV w:val="nil"/>
            </w:tcBorders>
          </w:tcPr>
          <w:p w14:paraId="0010011E">
            <w:pPr>
              <w:spacing w:before="40" w:after="40" w:line="240" w:lineRule="auto"/>
              <w:ind w:left="0" w:firstLine="0"/>
              <w:jc w:val="center"/>
            </w:pPr>
          </w:p>
        </w:tc>
        <w:tc>
          <w:tcPr>
            <w:tcBorders>
              <w:top w:val="nil"/>
              <w:left w:val="nil"/>
              <w:bottom w:val="nil"/>
              <w:right w:val="nil"/>
              <w:insideH w:val="nil"/>
              <w:insideV w:val="nil"/>
            </w:tcBorders>
          </w:tcPr>
          <w:p w14:paraId="00100120">
            <w:pPr>
              <w:spacing w:before="40" w:after="40" w:line="240" w:lineRule="auto"/>
              <w:ind w:left="0" w:firstLine="0"/>
              <w:jc w:val="center"/>
            </w:pPr>
          </w:p>
        </w:tc>
        <w:tc>
          <w:tcPr>
            <w:tcBorders>
              <w:top w:val="nil"/>
              <w:left w:val="nil"/>
              <w:bottom w:val="nil"/>
              <w:right w:val="nil"/>
              <w:insideH w:val="nil"/>
              <w:insideV w:val="nil"/>
            </w:tcBorders>
          </w:tcPr>
          <w:p w14:paraId="00100122">
            <w:pPr>
              <w:spacing w:before="40" w:after="40" w:line="240" w:lineRule="auto"/>
              <w:ind w:left="0" w:firstLine="0"/>
              <w:jc w:val="center"/>
            </w:pPr>
            <w:r>
              <w:rPr>
                <w:rFonts w:ascii="Times New Roman" w:hAnsi="Times New Roman" w:eastAsia="宋体"/>
                <w:b w:val="0"/>
                <w:sz w:val="21"/>
              </w:rPr>
              <w:t>代表基因组数</w:t>
            </w:r>
          </w:p>
        </w:tc>
        <w:tc>
          <w:tcPr>
            <w:tcBorders>
              <w:top w:val="nil"/>
              <w:left w:val="nil"/>
              <w:bottom w:val="nil"/>
              <w:right w:val="nil"/>
              <w:insideH w:val="nil"/>
              <w:insideV w:val="nil"/>
            </w:tcBorders>
          </w:tcPr>
          <w:p w14:paraId="00100124">
            <w:pPr>
              <w:spacing w:before="40" w:after="40" w:line="240" w:lineRule="auto"/>
              <w:ind w:left="0" w:firstLine="0"/>
              <w:jc w:val="center"/>
            </w:pPr>
            <w:r>
              <w:rPr>
                <w:rFonts w:ascii="Times New Roman" w:hAnsi="Times New Roman" w:eastAsia="宋体"/>
                <w:b w:val="0"/>
                <w:sz w:val="21"/>
              </w:rPr>
              <w:t>2.99</w:t>
            </w:r>
          </w:p>
        </w:tc>
        <w:tc>
          <w:tcPr>
            <w:tcBorders>
              <w:top w:val="nil"/>
              <w:left w:val="nil"/>
              <w:bottom w:val="nil"/>
              <w:right w:val="nil"/>
              <w:insideH w:val="nil"/>
              <w:insideV w:val="nil"/>
            </w:tcBorders>
          </w:tcPr>
          <w:p w14:paraId="00100126">
            <w:pPr>
              <w:spacing w:before="40" w:after="40" w:line="240" w:lineRule="auto"/>
              <w:ind w:left="0" w:firstLine="0"/>
              <w:jc w:val="center"/>
            </w:pPr>
            <w:r>
              <w:rPr>
                <w:rFonts w:ascii="Times New Roman" w:hAnsi="Times New Roman" w:eastAsia="宋体"/>
                <w:b w:val="0"/>
                <w:sz w:val="21"/>
              </w:rPr>
              <w:t>0.5591</w:t>
            </w:r>
          </w:p>
        </w:tc>
      </w:tr>
      <w:tr w14:paraId="26E9F7A5">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2A">
            <w:pPr>
              <w:spacing w:before="40" w:after="40" w:line="240" w:lineRule="auto"/>
              <w:ind w:left="0" w:firstLine="0"/>
              <w:jc w:val="center"/>
            </w:pPr>
            <w:r>
              <w:rPr>
                <w:rFonts w:ascii="Times New Roman" w:hAnsi="Times New Roman" w:eastAsia="宋体"/>
                <w:b w:val="0"/>
                <w:sz w:val="21"/>
              </w:rPr>
              <w:t>队列二 匹配265例</w:t>
            </w:r>
          </w:p>
        </w:tc>
        <w:tc>
          <w:tcPr>
            <w:tcBorders>
              <w:top w:val="nil"/>
              <w:left w:val="nil"/>
              <w:bottom w:val="nil"/>
              <w:right w:val="nil"/>
              <w:insideH w:val="nil"/>
              <w:insideV w:val="nil"/>
            </w:tcBorders>
          </w:tcPr>
          <w:p w14:paraId="0010012C">
            <w:pPr>
              <w:spacing w:before="40" w:after="40" w:line="240" w:lineRule="auto"/>
              <w:ind w:left="0" w:firstLine="0"/>
              <w:jc w:val="center"/>
            </w:pPr>
            <w:r>
              <w:rPr>
                <w:rFonts w:ascii="Times New Roman" w:hAnsi="Times New Roman" w:eastAsia="宋体"/>
                <w:b w:val="0"/>
                <w:sz w:val="21"/>
              </w:rPr>
              <w:t>NC对AD</w:t>
            </w:r>
          </w:p>
        </w:tc>
        <w:tc>
          <w:tcPr>
            <w:tcBorders>
              <w:top w:val="nil"/>
              <w:left w:val="nil"/>
              <w:bottom w:val="nil"/>
              <w:right w:val="nil"/>
              <w:insideH w:val="nil"/>
              <w:insideV w:val="nil"/>
            </w:tcBorders>
          </w:tcPr>
          <w:p w14:paraId="0010012E">
            <w:pPr>
              <w:spacing w:before="40" w:after="40" w:line="240" w:lineRule="auto"/>
              <w:ind w:left="0" w:firstLine="0"/>
              <w:jc w:val="center"/>
            </w:pPr>
            <w:r>
              <w:rPr>
                <w:rFonts w:ascii="Times New Roman" w:hAnsi="Times New Roman" w:eastAsia="宋体"/>
                <w:b w:val="0"/>
                <w:sz w:val="21"/>
              </w:rPr>
              <w:t>Mann-Whitney U</w:t>
            </w:r>
          </w:p>
        </w:tc>
        <w:tc>
          <w:tcPr>
            <w:tcBorders>
              <w:top w:val="nil"/>
              <w:left w:val="nil"/>
              <w:bottom w:val="nil"/>
              <w:right w:val="nil"/>
              <w:insideH w:val="nil"/>
              <w:insideV w:val="nil"/>
            </w:tcBorders>
          </w:tcPr>
          <w:p w14:paraId="00100130">
            <w:pPr>
              <w:spacing w:before="40" w:after="40" w:line="240" w:lineRule="auto"/>
              <w:ind w:left="0" w:firstLine="0"/>
              <w:jc w:val="center"/>
            </w:pPr>
            <w:r>
              <w:rPr>
                <w:rFonts w:ascii="Times New Roman" w:hAnsi="Times New Roman" w:eastAsia="宋体"/>
                <w:b w:val="0"/>
                <w:sz w:val="21"/>
              </w:rPr>
              <w:t>sORF总数</w:t>
            </w:r>
          </w:p>
        </w:tc>
        <w:tc>
          <w:tcPr>
            <w:tcBorders>
              <w:top w:val="nil"/>
              <w:left w:val="nil"/>
              <w:bottom w:val="nil"/>
              <w:right w:val="nil"/>
              <w:insideH w:val="nil"/>
              <w:insideV w:val="nil"/>
            </w:tcBorders>
          </w:tcPr>
          <w:p w14:paraId="00100132">
            <w:pPr>
              <w:spacing w:before="40" w:after="40" w:line="240" w:lineRule="auto"/>
              <w:ind w:left="0" w:firstLine="0"/>
              <w:jc w:val="center"/>
            </w:pPr>
            <w:r>
              <w:rPr>
                <w:rFonts w:ascii="Times New Roman" w:hAnsi="Times New Roman" w:eastAsia="宋体"/>
                <w:b w:val="0"/>
                <w:sz w:val="21"/>
              </w:rPr>
              <w:t>1305.00</w:t>
            </w:r>
          </w:p>
        </w:tc>
        <w:tc>
          <w:tcPr>
            <w:tcBorders>
              <w:top w:val="nil"/>
              <w:left w:val="nil"/>
              <w:bottom w:val="nil"/>
              <w:right w:val="nil"/>
              <w:insideH w:val="nil"/>
              <w:insideV w:val="nil"/>
            </w:tcBorders>
          </w:tcPr>
          <w:p w14:paraId="00100134">
            <w:pPr>
              <w:spacing w:before="40" w:after="40" w:line="240" w:lineRule="auto"/>
              <w:ind w:left="0" w:firstLine="0"/>
              <w:jc w:val="center"/>
            </w:pPr>
            <w:r>
              <w:rPr>
                <w:rFonts w:ascii="Times New Roman" w:hAnsi="Times New Roman" w:eastAsia="宋体"/>
                <w:b w:val="0"/>
                <w:sz w:val="21"/>
              </w:rPr>
              <w:t>0.9786</w:t>
            </w:r>
          </w:p>
        </w:tc>
      </w:tr>
      <w:tr w14:paraId="5C266F1F">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38">
            <w:pPr>
              <w:spacing w:before="40" w:after="40" w:line="240" w:lineRule="auto"/>
              <w:ind w:left="0" w:firstLine="0"/>
              <w:jc w:val="center"/>
            </w:pPr>
          </w:p>
        </w:tc>
        <w:tc>
          <w:tcPr>
            <w:tcBorders>
              <w:top w:val="nil"/>
              <w:left w:val="nil"/>
              <w:bottom w:val="nil"/>
              <w:right w:val="nil"/>
              <w:insideH w:val="nil"/>
              <w:insideV w:val="nil"/>
            </w:tcBorders>
          </w:tcPr>
          <w:p w14:paraId="0010013A">
            <w:pPr>
              <w:spacing w:before="40" w:after="40" w:line="240" w:lineRule="auto"/>
              <w:ind w:left="0" w:firstLine="0"/>
              <w:jc w:val="center"/>
            </w:pPr>
          </w:p>
        </w:tc>
        <w:tc>
          <w:tcPr>
            <w:tcBorders>
              <w:top w:val="nil"/>
              <w:left w:val="nil"/>
              <w:bottom w:val="nil"/>
              <w:right w:val="nil"/>
              <w:insideH w:val="nil"/>
              <w:insideV w:val="nil"/>
            </w:tcBorders>
          </w:tcPr>
          <w:p w14:paraId="0010013C">
            <w:pPr>
              <w:spacing w:before="40" w:after="40" w:line="240" w:lineRule="auto"/>
              <w:ind w:left="0" w:firstLine="0"/>
              <w:jc w:val="center"/>
            </w:pPr>
          </w:p>
        </w:tc>
        <w:tc>
          <w:tcPr>
            <w:tcBorders>
              <w:top w:val="nil"/>
              <w:left w:val="nil"/>
              <w:bottom w:val="nil"/>
              <w:right w:val="nil"/>
              <w:insideH w:val="nil"/>
              <w:insideV w:val="nil"/>
            </w:tcBorders>
          </w:tcPr>
          <w:p w14:paraId="0010013E">
            <w:pPr>
              <w:spacing w:before="40" w:after="40" w:line="240" w:lineRule="auto"/>
              <w:ind w:left="0" w:firstLine="0"/>
              <w:jc w:val="center"/>
            </w:pPr>
            <w:r>
              <w:rPr>
                <w:rFonts w:ascii="Times New Roman" w:hAnsi="Times New Roman" w:eastAsia="宋体"/>
                <w:b w:val="0"/>
                <w:sz w:val="21"/>
              </w:rPr>
              <w:t>单位基因组sORF数</w:t>
            </w:r>
          </w:p>
        </w:tc>
        <w:tc>
          <w:tcPr>
            <w:tcBorders>
              <w:top w:val="nil"/>
              <w:left w:val="nil"/>
              <w:bottom w:val="nil"/>
              <w:right w:val="nil"/>
              <w:insideH w:val="nil"/>
              <w:insideV w:val="nil"/>
            </w:tcBorders>
          </w:tcPr>
          <w:p w14:paraId="00100140">
            <w:pPr>
              <w:spacing w:before="40" w:after="40" w:line="240" w:lineRule="auto"/>
              <w:ind w:left="0" w:firstLine="0"/>
              <w:jc w:val="center"/>
            </w:pPr>
            <w:r>
              <w:rPr>
                <w:rFonts w:ascii="Times New Roman" w:hAnsi="Times New Roman" w:eastAsia="宋体"/>
                <w:b w:val="0"/>
                <w:sz w:val="21"/>
              </w:rPr>
              <w:t>1226.00</w:t>
            </w:r>
          </w:p>
        </w:tc>
        <w:tc>
          <w:tcPr>
            <w:tcBorders>
              <w:top w:val="nil"/>
              <w:left w:val="nil"/>
              <w:bottom w:val="nil"/>
              <w:right w:val="nil"/>
              <w:insideH w:val="nil"/>
              <w:insideV w:val="nil"/>
            </w:tcBorders>
          </w:tcPr>
          <w:p w14:paraId="00100142">
            <w:pPr>
              <w:spacing w:before="40" w:after="40" w:line="240" w:lineRule="auto"/>
              <w:ind w:left="0" w:firstLine="0"/>
              <w:jc w:val="center"/>
            </w:pPr>
            <w:r>
              <w:rPr>
                <w:rFonts w:ascii="Times New Roman" w:hAnsi="Times New Roman" w:eastAsia="宋体"/>
                <w:b w:val="0"/>
                <w:sz w:val="21"/>
              </w:rPr>
              <w:t>0.6204</w:t>
            </w:r>
          </w:p>
        </w:tc>
      </w:tr>
      <w:tr w14:paraId="42748AFC">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46">
            <w:pPr>
              <w:spacing w:before="40" w:after="40" w:line="240" w:lineRule="auto"/>
              <w:ind w:left="0" w:firstLine="0"/>
              <w:jc w:val="center"/>
            </w:pPr>
          </w:p>
        </w:tc>
        <w:tc>
          <w:tcPr>
            <w:tcBorders>
              <w:top w:val="nil"/>
              <w:left w:val="nil"/>
              <w:bottom w:val="nil"/>
              <w:right w:val="nil"/>
              <w:insideH w:val="nil"/>
              <w:insideV w:val="nil"/>
            </w:tcBorders>
          </w:tcPr>
          <w:p w14:paraId="00100148">
            <w:pPr>
              <w:spacing w:before="40" w:after="40" w:line="240" w:lineRule="auto"/>
              <w:ind w:left="0" w:firstLine="0"/>
              <w:jc w:val="center"/>
            </w:pPr>
          </w:p>
        </w:tc>
        <w:tc>
          <w:tcPr>
            <w:tcBorders>
              <w:top w:val="nil"/>
              <w:left w:val="nil"/>
              <w:bottom w:val="nil"/>
              <w:right w:val="nil"/>
              <w:insideH w:val="nil"/>
              <w:insideV w:val="nil"/>
            </w:tcBorders>
          </w:tcPr>
          <w:p w14:paraId="0010014A">
            <w:pPr>
              <w:spacing w:before="40" w:after="40" w:line="240" w:lineRule="auto"/>
              <w:ind w:left="0" w:firstLine="0"/>
              <w:jc w:val="center"/>
            </w:pPr>
          </w:p>
        </w:tc>
        <w:tc>
          <w:tcPr>
            <w:tcBorders>
              <w:top w:val="nil"/>
              <w:left w:val="nil"/>
              <w:bottom w:val="nil"/>
              <w:right w:val="nil"/>
              <w:insideH w:val="nil"/>
              <w:insideV w:val="nil"/>
            </w:tcBorders>
          </w:tcPr>
          <w:p w14:paraId="0010014C">
            <w:pPr>
              <w:spacing w:before="40" w:after="40" w:line="240" w:lineRule="auto"/>
              <w:ind w:left="0" w:firstLine="0"/>
              <w:jc w:val="center"/>
            </w:pPr>
            <w:r>
              <w:rPr>
                <w:rFonts w:ascii="Times New Roman" w:hAnsi="Times New Roman" w:eastAsia="宋体"/>
                <w:b w:val="0"/>
                <w:sz w:val="21"/>
              </w:rPr>
              <w:t>代表基因组数</w:t>
            </w:r>
          </w:p>
        </w:tc>
        <w:tc>
          <w:tcPr>
            <w:tcBorders>
              <w:top w:val="nil"/>
              <w:left w:val="nil"/>
              <w:bottom w:val="nil"/>
              <w:right w:val="nil"/>
              <w:insideH w:val="nil"/>
              <w:insideV w:val="nil"/>
            </w:tcBorders>
          </w:tcPr>
          <w:p w14:paraId="0010014E">
            <w:pPr>
              <w:spacing w:before="40" w:after="40" w:line="240" w:lineRule="auto"/>
              <w:ind w:left="0" w:firstLine="0"/>
              <w:jc w:val="center"/>
            </w:pPr>
            <w:r>
              <w:rPr>
                <w:rFonts w:ascii="Times New Roman" w:hAnsi="Times New Roman" w:eastAsia="宋体"/>
                <w:b w:val="0"/>
                <w:sz w:val="21"/>
              </w:rPr>
              <w:t>1321.50</w:t>
            </w:r>
          </w:p>
        </w:tc>
        <w:tc>
          <w:tcPr>
            <w:tcBorders>
              <w:top w:val="nil"/>
              <w:left w:val="nil"/>
              <w:bottom w:val="nil"/>
              <w:right w:val="nil"/>
              <w:insideH w:val="nil"/>
              <w:insideV w:val="nil"/>
            </w:tcBorders>
          </w:tcPr>
          <w:p w14:paraId="00100150">
            <w:pPr>
              <w:spacing w:before="40" w:after="40" w:line="240" w:lineRule="auto"/>
              <w:ind w:left="0" w:firstLine="0"/>
              <w:jc w:val="center"/>
            </w:pPr>
            <w:r>
              <w:rPr>
                <w:rFonts w:ascii="Times New Roman" w:hAnsi="Times New Roman" w:eastAsia="宋体"/>
                <w:b w:val="0"/>
                <w:sz w:val="21"/>
              </w:rPr>
              <w:t>0.8895</w:t>
            </w:r>
          </w:p>
        </w:tc>
      </w:tr>
      <w:tr w14:paraId="11727132">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54">
            <w:pPr>
              <w:spacing w:before="40" w:after="40" w:line="240" w:lineRule="auto"/>
              <w:ind w:left="0" w:firstLine="0"/>
              <w:jc w:val="center"/>
            </w:pPr>
            <w:r>
              <w:rPr>
                <w:rFonts w:ascii="Times New Roman" w:hAnsi="Times New Roman" w:eastAsia="宋体"/>
                <w:b w:val="0"/>
                <w:sz w:val="21"/>
              </w:rPr>
              <w:t>队列三 全476例</w:t>
            </w:r>
          </w:p>
        </w:tc>
        <w:tc>
          <w:tcPr>
            <w:tcBorders>
              <w:top w:val="nil"/>
              <w:left w:val="nil"/>
              <w:bottom w:val="nil"/>
              <w:right w:val="nil"/>
              <w:insideH w:val="nil"/>
              <w:insideV w:val="nil"/>
            </w:tcBorders>
          </w:tcPr>
          <w:p w14:paraId="00100156">
            <w:pPr>
              <w:spacing w:before="40" w:after="40" w:line="240" w:lineRule="auto"/>
              <w:ind w:left="0" w:firstLine="0"/>
              <w:jc w:val="center"/>
            </w:pPr>
            <w:r>
              <w:rPr>
                <w:rFonts w:ascii="Times New Roman" w:hAnsi="Times New Roman" w:eastAsia="宋体"/>
                <w:b w:val="0"/>
                <w:sz w:val="21"/>
              </w:rPr>
              <w:t>五阶段</w:t>
            </w:r>
          </w:p>
        </w:tc>
        <w:tc>
          <w:tcPr>
            <w:tcBorders>
              <w:top w:val="nil"/>
              <w:left w:val="nil"/>
              <w:bottom w:val="nil"/>
              <w:right w:val="nil"/>
              <w:insideH w:val="nil"/>
              <w:insideV w:val="nil"/>
            </w:tcBorders>
          </w:tcPr>
          <w:p w14:paraId="00100158">
            <w:pPr>
              <w:spacing w:before="40" w:after="40" w:line="240" w:lineRule="auto"/>
              <w:ind w:left="0" w:firstLine="0"/>
              <w:jc w:val="center"/>
            </w:pPr>
            <w:r>
              <w:rPr>
                <w:rFonts w:ascii="Times New Roman" w:hAnsi="Times New Roman" w:eastAsia="宋体"/>
                <w:b w:val="0"/>
                <w:sz w:val="21"/>
              </w:rPr>
              <w:t>Kruskal-Wallis H</w:t>
            </w:r>
          </w:p>
        </w:tc>
        <w:tc>
          <w:tcPr>
            <w:tcBorders>
              <w:top w:val="nil"/>
              <w:left w:val="nil"/>
              <w:bottom w:val="nil"/>
              <w:right w:val="nil"/>
              <w:insideH w:val="nil"/>
              <w:insideV w:val="nil"/>
            </w:tcBorders>
          </w:tcPr>
          <w:p w14:paraId="0010015A">
            <w:pPr>
              <w:spacing w:before="40" w:after="40" w:line="240" w:lineRule="auto"/>
              <w:ind w:left="0" w:firstLine="0"/>
              <w:jc w:val="center"/>
            </w:pPr>
            <w:r>
              <w:rPr>
                <w:rFonts w:ascii="Times New Roman" w:hAnsi="Times New Roman" w:eastAsia="宋体"/>
                <w:b w:val="0"/>
                <w:sz w:val="21"/>
              </w:rPr>
              <w:t>sORF总数</w:t>
            </w:r>
          </w:p>
        </w:tc>
        <w:tc>
          <w:tcPr>
            <w:tcBorders>
              <w:top w:val="nil"/>
              <w:left w:val="nil"/>
              <w:bottom w:val="nil"/>
              <w:right w:val="nil"/>
              <w:insideH w:val="nil"/>
              <w:insideV w:val="nil"/>
            </w:tcBorders>
          </w:tcPr>
          <w:p w14:paraId="0010015C">
            <w:pPr>
              <w:spacing w:before="40" w:after="40" w:line="240" w:lineRule="auto"/>
              <w:ind w:left="0" w:firstLine="0"/>
              <w:jc w:val="center"/>
            </w:pPr>
            <w:r>
              <w:rPr>
                <w:rFonts w:ascii="Times New Roman" w:hAnsi="Times New Roman" w:eastAsia="宋体"/>
                <w:b w:val="0"/>
                <w:sz w:val="21"/>
              </w:rPr>
              <w:t>2.27</w:t>
            </w:r>
          </w:p>
        </w:tc>
        <w:tc>
          <w:tcPr>
            <w:tcBorders>
              <w:top w:val="nil"/>
              <w:left w:val="nil"/>
              <w:bottom w:val="nil"/>
              <w:right w:val="nil"/>
              <w:insideH w:val="nil"/>
              <w:insideV w:val="nil"/>
            </w:tcBorders>
          </w:tcPr>
          <w:p w14:paraId="0010015E">
            <w:pPr>
              <w:spacing w:before="40" w:after="40" w:line="240" w:lineRule="auto"/>
              <w:ind w:left="0" w:firstLine="0"/>
              <w:jc w:val="center"/>
            </w:pPr>
            <w:r>
              <w:rPr>
                <w:rFonts w:ascii="Times New Roman" w:hAnsi="Times New Roman" w:eastAsia="宋体"/>
                <w:b w:val="0"/>
                <w:sz w:val="21"/>
              </w:rPr>
              <w:t>0.6860</w:t>
            </w:r>
          </w:p>
        </w:tc>
      </w:tr>
      <w:tr w14:paraId="742DA18A">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62">
            <w:pPr>
              <w:spacing w:before="40" w:after="40" w:line="240" w:lineRule="auto"/>
              <w:ind w:left="0" w:firstLine="0"/>
              <w:jc w:val="center"/>
            </w:pPr>
          </w:p>
        </w:tc>
        <w:tc>
          <w:tcPr>
            <w:tcBorders>
              <w:top w:val="nil"/>
              <w:left w:val="nil"/>
              <w:bottom w:val="nil"/>
              <w:right w:val="nil"/>
              <w:insideH w:val="nil"/>
              <w:insideV w:val="nil"/>
            </w:tcBorders>
          </w:tcPr>
          <w:p w14:paraId="00100164">
            <w:pPr>
              <w:spacing w:before="40" w:after="40" w:line="240" w:lineRule="auto"/>
              <w:ind w:left="0" w:firstLine="0"/>
              <w:jc w:val="center"/>
            </w:pPr>
          </w:p>
        </w:tc>
        <w:tc>
          <w:tcPr>
            <w:tcBorders>
              <w:top w:val="nil"/>
              <w:left w:val="nil"/>
              <w:bottom w:val="nil"/>
              <w:right w:val="nil"/>
              <w:insideH w:val="nil"/>
              <w:insideV w:val="nil"/>
            </w:tcBorders>
          </w:tcPr>
          <w:p w14:paraId="00100166">
            <w:pPr>
              <w:spacing w:before="40" w:after="40" w:line="240" w:lineRule="auto"/>
              <w:ind w:left="0" w:firstLine="0"/>
              <w:jc w:val="center"/>
            </w:pPr>
          </w:p>
        </w:tc>
        <w:tc>
          <w:tcPr>
            <w:tcBorders>
              <w:top w:val="nil"/>
              <w:left w:val="nil"/>
              <w:bottom w:val="nil"/>
              <w:right w:val="nil"/>
              <w:insideH w:val="nil"/>
              <w:insideV w:val="nil"/>
            </w:tcBorders>
          </w:tcPr>
          <w:p w14:paraId="00100168">
            <w:pPr>
              <w:spacing w:before="40" w:after="40" w:line="240" w:lineRule="auto"/>
              <w:ind w:left="0" w:firstLine="0"/>
              <w:jc w:val="center"/>
            </w:pPr>
            <w:r>
              <w:rPr>
                <w:rFonts w:ascii="Times New Roman" w:hAnsi="Times New Roman" w:eastAsia="宋体"/>
                <w:b w:val="0"/>
                <w:sz w:val="21"/>
              </w:rPr>
              <w:t>单位基因组sORF数</w:t>
            </w:r>
          </w:p>
        </w:tc>
        <w:tc>
          <w:tcPr>
            <w:tcBorders>
              <w:top w:val="nil"/>
              <w:left w:val="nil"/>
              <w:bottom w:val="nil"/>
              <w:right w:val="nil"/>
              <w:insideH w:val="nil"/>
              <w:insideV w:val="nil"/>
            </w:tcBorders>
          </w:tcPr>
          <w:p w14:paraId="0010016A">
            <w:pPr>
              <w:spacing w:before="40" w:after="40" w:line="240" w:lineRule="auto"/>
              <w:ind w:left="0" w:firstLine="0"/>
              <w:jc w:val="center"/>
            </w:pPr>
            <w:r>
              <w:rPr>
                <w:rFonts w:ascii="Times New Roman" w:hAnsi="Times New Roman" w:eastAsia="宋体"/>
                <w:b w:val="0"/>
                <w:sz w:val="21"/>
              </w:rPr>
              <w:t>1.45</w:t>
            </w:r>
          </w:p>
        </w:tc>
        <w:tc>
          <w:tcPr>
            <w:tcBorders>
              <w:top w:val="nil"/>
              <w:left w:val="nil"/>
              <w:bottom w:val="nil"/>
              <w:right w:val="nil"/>
              <w:insideH w:val="nil"/>
              <w:insideV w:val="nil"/>
            </w:tcBorders>
          </w:tcPr>
          <w:p w14:paraId="0010016C">
            <w:pPr>
              <w:spacing w:before="40" w:after="40" w:line="240" w:lineRule="auto"/>
              <w:ind w:left="0" w:firstLine="0"/>
              <w:jc w:val="center"/>
            </w:pPr>
            <w:r>
              <w:rPr>
                <w:rFonts w:ascii="Times New Roman" w:hAnsi="Times New Roman" w:eastAsia="宋体"/>
                <w:b w:val="0"/>
                <w:sz w:val="21"/>
              </w:rPr>
              <w:t>0.8359</w:t>
            </w:r>
          </w:p>
        </w:tc>
      </w:tr>
      <w:tr w14:paraId="234CE036">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70">
            <w:pPr>
              <w:spacing w:before="40" w:after="40" w:line="240" w:lineRule="auto"/>
              <w:ind w:left="0" w:firstLine="0"/>
              <w:jc w:val="center"/>
            </w:pPr>
          </w:p>
        </w:tc>
        <w:tc>
          <w:tcPr>
            <w:tcBorders>
              <w:top w:val="nil"/>
              <w:left w:val="nil"/>
              <w:bottom w:val="nil"/>
              <w:right w:val="nil"/>
              <w:insideH w:val="nil"/>
              <w:insideV w:val="nil"/>
            </w:tcBorders>
          </w:tcPr>
          <w:p w14:paraId="00100172">
            <w:pPr>
              <w:spacing w:before="40" w:after="40" w:line="240" w:lineRule="auto"/>
              <w:ind w:left="0" w:firstLine="0"/>
              <w:jc w:val="center"/>
            </w:pPr>
          </w:p>
        </w:tc>
        <w:tc>
          <w:tcPr>
            <w:tcBorders>
              <w:top w:val="nil"/>
              <w:left w:val="nil"/>
              <w:bottom w:val="nil"/>
              <w:right w:val="nil"/>
              <w:insideH w:val="nil"/>
              <w:insideV w:val="nil"/>
            </w:tcBorders>
          </w:tcPr>
          <w:p w14:paraId="00100174">
            <w:pPr>
              <w:spacing w:before="40" w:after="40" w:line="240" w:lineRule="auto"/>
              <w:ind w:left="0" w:firstLine="0"/>
              <w:jc w:val="center"/>
            </w:pPr>
          </w:p>
        </w:tc>
        <w:tc>
          <w:tcPr>
            <w:tcBorders>
              <w:top w:val="nil"/>
              <w:left w:val="nil"/>
              <w:bottom w:val="nil"/>
              <w:right w:val="nil"/>
              <w:insideH w:val="nil"/>
              <w:insideV w:val="nil"/>
            </w:tcBorders>
          </w:tcPr>
          <w:p w14:paraId="00100176">
            <w:pPr>
              <w:spacing w:before="40" w:after="40" w:line="240" w:lineRule="auto"/>
              <w:ind w:left="0" w:firstLine="0"/>
              <w:jc w:val="center"/>
            </w:pPr>
            <w:r>
              <w:rPr>
                <w:rFonts w:ascii="Times New Roman" w:hAnsi="Times New Roman" w:eastAsia="宋体"/>
                <w:b w:val="0"/>
                <w:sz w:val="21"/>
              </w:rPr>
              <w:t>代表基因组数</w:t>
            </w:r>
          </w:p>
        </w:tc>
        <w:tc>
          <w:tcPr>
            <w:tcBorders>
              <w:top w:val="nil"/>
              <w:left w:val="nil"/>
              <w:bottom w:val="nil"/>
              <w:right w:val="nil"/>
              <w:insideH w:val="nil"/>
              <w:insideV w:val="nil"/>
            </w:tcBorders>
          </w:tcPr>
          <w:p w14:paraId="00100178">
            <w:pPr>
              <w:spacing w:before="40" w:after="40" w:line="240" w:lineRule="auto"/>
              <w:ind w:left="0" w:firstLine="0"/>
              <w:jc w:val="center"/>
            </w:pPr>
            <w:r>
              <w:rPr>
                <w:rFonts w:ascii="Times New Roman" w:hAnsi="Times New Roman" w:eastAsia="宋体"/>
                <w:b w:val="0"/>
                <w:sz w:val="21"/>
              </w:rPr>
              <w:t>3.00</w:t>
            </w:r>
          </w:p>
        </w:tc>
        <w:tc>
          <w:tcPr>
            <w:tcBorders>
              <w:top w:val="nil"/>
              <w:left w:val="nil"/>
              <w:bottom w:val="nil"/>
              <w:right w:val="nil"/>
              <w:insideH w:val="nil"/>
              <w:insideV w:val="nil"/>
            </w:tcBorders>
          </w:tcPr>
          <w:p w14:paraId="0010017A">
            <w:pPr>
              <w:spacing w:before="40" w:after="40" w:line="240" w:lineRule="auto"/>
              <w:ind w:left="0" w:firstLine="0"/>
              <w:jc w:val="center"/>
            </w:pPr>
            <w:r>
              <w:rPr>
                <w:rFonts w:ascii="Times New Roman" w:hAnsi="Times New Roman" w:eastAsia="宋体"/>
                <w:b w:val="0"/>
                <w:sz w:val="21"/>
              </w:rPr>
              <w:t>0.5585</w:t>
            </w:r>
          </w:p>
        </w:tc>
      </w:tr>
      <w:tr w14:paraId="6B5C4B47">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7E">
            <w:pPr>
              <w:spacing w:before="40" w:after="40" w:line="240" w:lineRule="auto"/>
              <w:ind w:left="0" w:firstLine="0"/>
              <w:jc w:val="center"/>
            </w:pPr>
            <w:r>
              <w:rPr>
                <w:rFonts w:ascii="Times New Roman" w:hAnsi="Times New Roman" w:eastAsia="宋体"/>
                <w:b w:val="0"/>
                <w:sz w:val="21"/>
              </w:rPr>
              <w:t>队列四 全476例</w:t>
            </w:r>
          </w:p>
        </w:tc>
        <w:tc>
          <w:tcPr>
            <w:tcBorders>
              <w:top w:val="nil"/>
              <w:left w:val="nil"/>
              <w:bottom w:val="nil"/>
              <w:right w:val="nil"/>
              <w:insideH w:val="nil"/>
              <w:insideV w:val="nil"/>
            </w:tcBorders>
          </w:tcPr>
          <w:p w14:paraId="00100180">
            <w:pPr>
              <w:spacing w:before="40" w:after="40" w:line="240" w:lineRule="auto"/>
              <w:ind w:left="0" w:firstLine="0"/>
              <w:jc w:val="center"/>
            </w:pPr>
            <w:r>
              <w:rPr>
                <w:rFonts w:ascii="Times New Roman" w:hAnsi="Times New Roman" w:eastAsia="宋体"/>
                <w:b w:val="0"/>
                <w:sz w:val="21"/>
              </w:rPr>
              <w:t>NC对AD</w:t>
            </w:r>
          </w:p>
        </w:tc>
        <w:tc>
          <w:tcPr>
            <w:tcBorders>
              <w:top w:val="nil"/>
              <w:left w:val="nil"/>
              <w:bottom w:val="nil"/>
              <w:right w:val="nil"/>
              <w:insideH w:val="nil"/>
              <w:insideV w:val="nil"/>
            </w:tcBorders>
          </w:tcPr>
          <w:p w14:paraId="00100182">
            <w:pPr>
              <w:spacing w:before="40" w:after="40" w:line="240" w:lineRule="auto"/>
              <w:ind w:left="0" w:firstLine="0"/>
              <w:jc w:val="center"/>
            </w:pPr>
            <w:r>
              <w:rPr>
                <w:rFonts w:ascii="Times New Roman" w:hAnsi="Times New Roman" w:eastAsia="宋体"/>
                <w:b w:val="0"/>
                <w:sz w:val="21"/>
              </w:rPr>
              <w:t>Mann-Whitney U</w:t>
            </w:r>
          </w:p>
        </w:tc>
        <w:tc>
          <w:tcPr>
            <w:tcBorders>
              <w:top w:val="nil"/>
              <w:left w:val="nil"/>
              <w:bottom w:val="nil"/>
              <w:right w:val="nil"/>
              <w:insideH w:val="nil"/>
              <w:insideV w:val="nil"/>
            </w:tcBorders>
          </w:tcPr>
          <w:p w14:paraId="00100184">
            <w:pPr>
              <w:spacing w:before="40" w:after="40" w:line="240" w:lineRule="auto"/>
              <w:ind w:left="0" w:firstLine="0"/>
              <w:jc w:val="center"/>
            </w:pPr>
            <w:r>
              <w:rPr>
                <w:rFonts w:ascii="Times New Roman" w:hAnsi="Times New Roman" w:eastAsia="宋体"/>
                <w:b w:val="0"/>
                <w:sz w:val="21"/>
              </w:rPr>
              <w:t>sORF总数</w:t>
            </w:r>
          </w:p>
        </w:tc>
        <w:tc>
          <w:tcPr>
            <w:tcBorders>
              <w:top w:val="nil"/>
              <w:left w:val="nil"/>
              <w:bottom w:val="nil"/>
              <w:right w:val="nil"/>
              <w:insideH w:val="nil"/>
              <w:insideV w:val="nil"/>
            </w:tcBorders>
          </w:tcPr>
          <w:p w14:paraId="00100186">
            <w:pPr>
              <w:spacing w:before="40" w:after="40" w:line="240" w:lineRule="auto"/>
              <w:ind w:left="0" w:firstLine="0"/>
              <w:jc w:val="center"/>
            </w:pPr>
            <w:r>
              <w:rPr>
                <w:rFonts w:ascii="Times New Roman" w:hAnsi="Times New Roman" w:eastAsia="宋体"/>
                <w:b w:val="0"/>
                <w:sz w:val="21"/>
              </w:rPr>
              <w:t>3666.00</w:t>
            </w:r>
          </w:p>
        </w:tc>
        <w:tc>
          <w:tcPr>
            <w:tcBorders>
              <w:top w:val="nil"/>
              <w:left w:val="nil"/>
              <w:bottom w:val="nil"/>
              <w:right w:val="nil"/>
              <w:insideH w:val="nil"/>
              <w:insideV w:val="nil"/>
            </w:tcBorders>
          </w:tcPr>
          <w:p w14:paraId="00100188">
            <w:pPr>
              <w:spacing w:before="40" w:after="40" w:line="240" w:lineRule="auto"/>
              <w:ind w:left="0" w:firstLine="0"/>
              <w:jc w:val="center"/>
            </w:pPr>
            <w:r>
              <w:rPr>
                <w:rFonts w:ascii="Times New Roman" w:hAnsi="Times New Roman" w:eastAsia="宋体"/>
                <w:b w:val="0"/>
                <w:sz w:val="21"/>
              </w:rPr>
              <w:t>0.7662</w:t>
            </w:r>
          </w:p>
        </w:tc>
      </w:tr>
      <w:tr w14:paraId="3CC1E323">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nil"/>
              <w:right w:val="nil"/>
              <w:insideH w:val="nil"/>
              <w:insideV w:val="nil"/>
            </w:tcBorders>
          </w:tcPr>
          <w:p w14:paraId="0010018C">
            <w:pPr>
              <w:spacing w:before="40" w:after="40" w:line="240" w:lineRule="auto"/>
              <w:ind w:left="0" w:firstLine="0"/>
              <w:jc w:val="center"/>
            </w:pPr>
          </w:p>
        </w:tc>
        <w:tc>
          <w:tcPr>
            <w:tcBorders>
              <w:top w:val="nil"/>
              <w:left w:val="nil"/>
              <w:bottom w:val="nil"/>
              <w:right w:val="nil"/>
              <w:insideH w:val="nil"/>
              <w:insideV w:val="nil"/>
            </w:tcBorders>
          </w:tcPr>
          <w:p w14:paraId="0010018E">
            <w:pPr>
              <w:spacing w:before="40" w:after="40" w:line="240" w:lineRule="auto"/>
              <w:ind w:left="0" w:firstLine="0"/>
              <w:jc w:val="center"/>
            </w:pPr>
          </w:p>
        </w:tc>
        <w:tc>
          <w:tcPr>
            <w:tcBorders>
              <w:top w:val="nil"/>
              <w:left w:val="nil"/>
              <w:bottom w:val="nil"/>
              <w:right w:val="nil"/>
              <w:insideH w:val="nil"/>
              <w:insideV w:val="nil"/>
            </w:tcBorders>
          </w:tcPr>
          <w:p w14:paraId="00100190">
            <w:pPr>
              <w:spacing w:before="40" w:after="40" w:line="240" w:lineRule="auto"/>
              <w:ind w:left="0" w:firstLine="0"/>
              <w:jc w:val="center"/>
            </w:pPr>
          </w:p>
        </w:tc>
        <w:tc>
          <w:tcPr>
            <w:tcBorders>
              <w:top w:val="nil"/>
              <w:left w:val="nil"/>
              <w:bottom w:val="nil"/>
              <w:right w:val="nil"/>
              <w:insideH w:val="nil"/>
              <w:insideV w:val="nil"/>
            </w:tcBorders>
          </w:tcPr>
          <w:p w14:paraId="00100192">
            <w:pPr>
              <w:spacing w:before="40" w:after="40" w:line="240" w:lineRule="auto"/>
              <w:ind w:left="0" w:firstLine="0"/>
              <w:jc w:val="center"/>
            </w:pPr>
            <w:r>
              <w:rPr>
                <w:rFonts w:ascii="Times New Roman" w:hAnsi="Times New Roman" w:eastAsia="宋体"/>
                <w:b w:val="0"/>
                <w:sz w:val="21"/>
              </w:rPr>
              <w:t>单位基因组sORF数</w:t>
            </w:r>
          </w:p>
        </w:tc>
        <w:tc>
          <w:tcPr>
            <w:tcBorders>
              <w:top w:val="nil"/>
              <w:left w:val="nil"/>
              <w:bottom w:val="nil"/>
              <w:right w:val="nil"/>
              <w:insideH w:val="nil"/>
              <w:insideV w:val="nil"/>
            </w:tcBorders>
          </w:tcPr>
          <w:p w14:paraId="00100194">
            <w:pPr>
              <w:spacing w:before="40" w:after="40" w:line="240" w:lineRule="auto"/>
              <w:ind w:left="0" w:firstLine="0"/>
              <w:jc w:val="center"/>
            </w:pPr>
            <w:r>
              <w:rPr>
                <w:rFonts w:ascii="Times New Roman" w:hAnsi="Times New Roman" w:eastAsia="宋体"/>
                <w:b w:val="0"/>
                <w:sz w:val="21"/>
              </w:rPr>
              <w:t>3310.00</w:t>
            </w:r>
          </w:p>
        </w:tc>
        <w:tc>
          <w:tcPr>
            <w:tcBorders>
              <w:top w:val="nil"/>
              <w:left w:val="nil"/>
              <w:bottom w:val="nil"/>
              <w:right w:val="nil"/>
              <w:insideH w:val="nil"/>
              <w:insideV w:val="nil"/>
            </w:tcBorders>
          </w:tcPr>
          <w:p w14:paraId="00100196">
            <w:pPr>
              <w:spacing w:before="40" w:after="40" w:line="240" w:lineRule="auto"/>
              <w:ind w:left="0" w:firstLine="0"/>
              <w:jc w:val="center"/>
            </w:pPr>
            <w:r>
              <w:rPr>
                <w:rFonts w:ascii="Times New Roman" w:hAnsi="Times New Roman" w:eastAsia="宋体"/>
                <w:b w:val="0"/>
                <w:sz w:val="21"/>
              </w:rPr>
              <w:t>0.4291</w:t>
            </w:r>
          </w:p>
        </w:tc>
      </w:tr>
      <w:tr w14:paraId="5F889DFD">
        <w:tblPrEx>
          <w:tblBorders>
            <w:top w:val="single" w:color="000000" w:sz="12" w:space="0"/>
            <w:left w:val="none" w:color="auto" w:sz="4" w:space="0"/>
            <w:bottom w:val="single" w:color="000000" w:sz="12" w:space="0"/>
            <w:right w:val="none" w:color="auto" w:sz="4" w:space="0"/>
            <w:insideH w:val="none" w:color="auto" w:sz="4" w:space="0"/>
            <w:insideV w:val="none" w:color="auto" w:sz="4" w:space="0"/>
          </w:tblBorders>
          <w:tblCellMar>
            <w:top w:w="0" w:type="dxa"/>
            <w:left w:w="10" w:type="dxa"/>
            <w:bottom w:w="0" w:type="dxa"/>
            <w:right w:w="10" w:type="dxa"/>
          </w:tblCellMar>
        </w:tblPrEx>
        <w:trPr>
          <w:jc w:val="center"/>
        </w:trPr>
        <w:tc>
          <w:tcPr>
            <w:tcBorders>
              <w:top w:val="nil"/>
              <w:left w:val="nil"/>
              <w:bottom w:val="single" w:color="000000" w:sz="12" w:space="0"/>
              <w:right w:val="nil"/>
              <w:insideH w:val="nil"/>
              <w:insideV w:val="nil"/>
            </w:tcBorders>
          </w:tcPr>
          <w:p w14:paraId="0010019A">
            <w:pPr>
              <w:spacing w:before="40" w:after="40" w:line="240" w:lineRule="auto"/>
              <w:ind w:left="0" w:firstLine="0"/>
              <w:jc w:val="center"/>
            </w:pPr>
          </w:p>
        </w:tc>
        <w:tc>
          <w:tcPr>
            <w:tcBorders>
              <w:top w:val="nil"/>
              <w:left w:val="nil"/>
              <w:bottom w:val="single" w:color="000000" w:sz="12" w:space="0"/>
              <w:right w:val="nil"/>
              <w:insideH w:val="nil"/>
              <w:insideV w:val="nil"/>
            </w:tcBorders>
          </w:tcPr>
          <w:p w14:paraId="0010019C">
            <w:pPr>
              <w:spacing w:before="40" w:after="40" w:line="240" w:lineRule="auto"/>
              <w:ind w:left="0" w:firstLine="0"/>
              <w:jc w:val="center"/>
            </w:pPr>
          </w:p>
        </w:tc>
        <w:tc>
          <w:tcPr>
            <w:tcBorders>
              <w:top w:val="nil"/>
              <w:left w:val="nil"/>
              <w:bottom w:val="single" w:color="000000" w:sz="12" w:space="0"/>
              <w:right w:val="nil"/>
              <w:insideH w:val="nil"/>
              <w:insideV w:val="nil"/>
            </w:tcBorders>
          </w:tcPr>
          <w:p w14:paraId="0010019E">
            <w:pPr>
              <w:spacing w:before="40" w:after="40" w:line="240" w:lineRule="auto"/>
              <w:ind w:left="0" w:firstLine="0"/>
              <w:jc w:val="center"/>
            </w:pPr>
          </w:p>
        </w:tc>
        <w:tc>
          <w:tcPr>
            <w:tcBorders>
              <w:top w:val="nil"/>
              <w:left w:val="nil"/>
              <w:bottom w:val="single" w:color="000000" w:sz="12" w:space="0"/>
              <w:right w:val="nil"/>
              <w:insideH w:val="nil"/>
              <w:insideV w:val="nil"/>
            </w:tcBorders>
          </w:tcPr>
          <w:p w14:paraId="001001A0">
            <w:pPr>
              <w:spacing w:before="40" w:after="40" w:line="240" w:lineRule="auto"/>
              <w:ind w:left="0" w:firstLine="0"/>
              <w:jc w:val="center"/>
            </w:pPr>
            <w:r>
              <w:rPr>
                <w:rFonts w:ascii="Times New Roman" w:hAnsi="Times New Roman" w:eastAsia="宋体"/>
                <w:b w:val="0"/>
                <w:sz w:val="21"/>
              </w:rPr>
              <w:t>代表基因组数</w:t>
            </w:r>
          </w:p>
        </w:tc>
        <w:tc>
          <w:tcPr>
            <w:tcBorders>
              <w:top w:val="nil"/>
              <w:left w:val="nil"/>
              <w:bottom w:val="single" w:color="000000" w:sz="12" w:space="0"/>
              <w:right w:val="nil"/>
              <w:insideH w:val="nil"/>
              <w:insideV w:val="nil"/>
            </w:tcBorders>
          </w:tcPr>
          <w:p w14:paraId="001001A2">
            <w:pPr>
              <w:spacing w:before="40" w:after="40" w:line="240" w:lineRule="auto"/>
              <w:ind w:left="0" w:firstLine="0"/>
              <w:jc w:val="center"/>
            </w:pPr>
            <w:r>
              <w:rPr>
                <w:rFonts w:ascii="Times New Roman" w:hAnsi="Times New Roman" w:eastAsia="宋体"/>
                <w:b w:val="0"/>
                <w:sz w:val="21"/>
              </w:rPr>
              <w:t>3808.00</w:t>
            </w:r>
          </w:p>
        </w:tc>
        <w:tc>
          <w:tcPr>
            <w:tcBorders>
              <w:top w:val="nil"/>
              <w:left w:val="nil"/>
              <w:bottom w:val="single" w:color="000000" w:sz="12" w:space="0"/>
              <w:right w:val="nil"/>
              <w:insideH w:val="nil"/>
              <w:insideV w:val="nil"/>
            </w:tcBorders>
          </w:tcPr>
          <w:p w14:paraId="001001A4">
            <w:pPr>
              <w:spacing w:before="40" w:after="40" w:line="240" w:lineRule="auto"/>
              <w:ind w:left="0" w:firstLine="0"/>
              <w:jc w:val="center"/>
            </w:pPr>
            <w:r>
              <w:rPr>
                <w:rFonts w:ascii="Times New Roman" w:hAnsi="Times New Roman" w:eastAsia="宋体"/>
                <w:b w:val="0"/>
                <w:sz w:val="21"/>
              </w:rPr>
              <w:t>0.4590</w:t>
            </w:r>
          </w:p>
        </w:tc>
      </w:tr>
    </w:tbl>
    <w:p w14:paraId="00100032">
      <w:pPr>
        <w:ind w:left="0" w:firstLineChars="200"/>
      </w:pPr>
      <w:r>
        <w:t>在匹配265例五阶段队列中，Total_sORF、sORF_per_MAG与N_MAG的Kruskal-Wallis检验P值分别为0.5689、0.7344与0.5591。在匹配265例NC与AD二元比较中，对应的Mann-Whitney U检验P值分别为0.9786、0.6204与0.8895。在全476例五阶段队列中，P值分别为0.6860、0.8359与0.5585。在全476例NC与AD二元比较中，P值分别为0.7662、0.4291与0.4590。</w:t>
      </w:r>
    </w:p>
    <w:p w14:paraId="00100034">
      <w:pPr>
        <w:ind w:left="0" w:firstLineChars="200"/>
      </w:pPr>
      <w:r>
        <w:t>值得注意的是，主要结局指标sORF_per_MAG在四个队列中的P值均处于较高水平（0.4291至0.8359），且效应方向在不同队列间不一致：在匹配队列的二元比较中AD组略高于NC组（114 555.0对113 306.7），而在全队列的二元比较中则呈相反趋势（111 582.5对114 529.3）。该方向性的不一致进一步支持组间无真实差异的判断。</w:t>
      </w:r>
    </w:p>
    <w:p w14:paraId="00100036">
      <w:pPr>
        <w:ind w:left="0" w:firstLineChars="200"/>
      </w:pPr>
      <w:r>
        <w:t>上述结果表明，在本研究队列中，肠道微生物组来源的sORF总体编码容量在认知正常至阿尔茨海默病的病程谱系中保持稳定，未随病程进展发生可检出的数量层面改变。该阴性结果同时在严格年龄性别匹配的亚队列与全样本队列中得到一致重现，提示其不太可能由混杂因素掩盖所致。</w:t>
      </w:r>
    </w:p>
    <w:p w14:paraId="00100038">
      <w:pPr>
        <w:ind w:left="0" w:firstLineChars="200"/>
      </w:pPr>
      <w:r>
        <w:t>需要指出的是，本研究此阶段的分析针对的是sORF的总体数量特征，属于宏观层面的容量评估。sORF总数不变并不排除特定功能亚类多肽（例如抗菌肽）在丰度或组成上发生改变的可能性，亦不排除个别多肽序列存在显著的组间差异。针对候选抗菌肽的靶向预测与差异分析将在后续工作中开展。</w:t>
      </w:r>
    </w:p>
    <w:sectPr>
      <w:pgSz w:w="11906" w:h="16838"/>
      <w:pgMar w:top="1440" w:right="1800" w:bottom="1440" w:left="1800" w:header="720" w:footer="720" w:gutter="0"/>
      <w:cols w:space="720" w:num="1"/>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3FC322E"/>
    <w:rsid w:val="5A8E2EAB"/>
    <w:rsid w:val="751173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sz w:val="24"/>
      <w:szCs w:val="22"/>
    </w:rPr>
  </w:style>
  <w:style w:type="paragraph" w:styleId="2">
    <w:name w:val="heading 2"/>
    <w:basedOn w:val="1"/>
    <w:next w:val="1"/>
    <w:uiPriority w:val="0"/>
    <w:pPr>
      <w:spacing w:before="240" w:after="160"/>
      <w:outlineLvl w:val="1"/>
    </w:pPr>
    <w:rPr>
      <w:rFonts w:ascii="Times New Roman" w:hAnsi="Times New Roman" w:eastAsia="黑体"/>
      <w:color w:val="000000"/>
      <w:sz w:val="28"/>
    </w:rPr>
  </w:style>
  <w:style w:type="paragraph" w:styleId="3">
    <w:name w:val="heading 3"/>
    <w:basedOn w:val="1"/>
    <w:next w:val="1"/>
    <w:uiPriority w:val="0"/>
    <w:pPr>
      <w:spacing w:before="200" w:after="120"/>
      <w:outlineLvl w:val="2"/>
    </w:pPr>
    <w:rPr>
      <w:rFonts w:ascii="Times New Roman" w:hAnsi="Times New Roman" w:eastAsia="黑体"/>
      <w:color w:val="000000"/>
      <w:sz w:val="2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3898</Words>
  <Characters>5617</Characters>
  <TotalTime>1</TotalTime>
  <ScaleCrop>false</ScaleCrop>
  <LinksUpToDate>false</LinksUpToDate>
  <CharactersWithSpaces>5747</CharactersWithSpaces>
  <Application>WPS Office_12.1.0.26899_F1E327BC-269C-435d-A152-05C5408002CA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2026-07-25T07:36:00Z</dcterms:created>
  <dc:creator>OfficeCLI</dc:creator>
  <cp:lastModifiedBy>缩短了的永恒</cp:lastModifiedBy>
  <dcterms:modified xsi:type="dcterms:W3CDTF">2026-07-25T07:39:15Z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1.0.141</vt:lpwstr>
  </property>
  <property fmtid="{D5CDD505-2E9C-101B-9397-08002B2CF9AE}" pid="3" name="OfficeCLI.LastModified">
    <vt:lpwstr>2026-07-25T07:36:47Z</vt:lpwstr>
  </property>
  <property fmtid="{D5CDD505-2E9C-101B-9397-08002B2CF9AE}" pid="4" name="KSOTemplateDocerSaveRecord">
    <vt:lpwstr>eyJoZGlkIjoiMmVlYmJmOWUyMzlhOGI2YTU3MjVkZTM1MDZmYjgzYjIiLCJ1c2VySWQiOiIxMjQ2NzkwNzcxIn0=</vt:lpwstr>
  </property>
  <property fmtid="{D5CDD505-2E9C-101B-9397-08002B2CF9AE}" pid="5" name="KSOProductBuildVer">
    <vt:lpwstr>2052-12.1.0.26899</vt:lpwstr>
  </property>
  <property fmtid="{D5CDD505-2E9C-101B-9397-08002B2CF9AE}" pid="6" name="ICV">
    <vt:lpwstr>AD46EE481D914FF28D79E5D0D61B4ADE_12</vt:lpwstr>
  </property>
</Properties>
</file>