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howingPlcHd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showingPlcHd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选择一项</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howingPlcHd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howingPlcHd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 </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特征的神经退行性疾病，其发生发展被认为与"肠—脑轴"介导的慢性神经炎症密切相关。近年来的宏基因组学研究提示，AD患者肠道微生物组的组成与功能较健康人群发生改变，而肠道微生物基因组中的小开放阅读框（small open reading frames, sORFs）可编码5—50个氨基酸的短肽，其中包含具有抗菌与免疫调节活性的抗菌肽（antimicrobial peptides, AMPs）。然而，现有AMPs研究主要依赖宿主来源数据库与通用预测模型，尚缺乏面向AD患者肠道微生物组、且覆盖病程各阶段的疾病特异性系统分析。据此，本研究以公开宏基因组队列为基础，构建无偏的微生物源sORF多肽库，建立基于蛋白质语言模型的深度学习分类器（DeepMetaAMP），并在严格匹配年龄与性别的分层队列中，系统比较认知正常至AD病程各阶段微生物源候选抗菌肽的数量、组成与序列特征差异，为"微生物肽—免疫调控—神经炎症"通路提供可检验的分子线索。</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全队列宏基因组的组装、分箱与种水平去冗余。对476 例粪便双端鸟枪法宏基因组数据统一执行fastp质量过滤与KneadData/Bowtie2去宿主（hg38）处理，各样本经MEGAHIT从头组装后，分别以MetaBAT2、MaxBin2与CONCOCT独立分箱，并采用metaWRAP bin_refinement模块整合与提纯（完整度≥50%、污染度≤10%），共获得22 582个宏基因组组装基因组（metagenome-assembled genomes, MAGs）。基于CheckM谱系标记基因及barrnap、tRNAscan-SE的rRNA与tRNA注释结果，按MIMAG标准进行质量分级，其中757 个达到高质量标准（完整度≥90%、污染度≤5%、含完整5S/16S/23S rRNA基因且tRNA种类不少于18种）。全部MAGs经dRep在95%平均核苷酸一致性（ANI）阈值下聚类去冗余，获得1 971个种水平代表基因组，覆盖476 例受试者中的459 例。</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小开放阅读框预测与非冗余多肽库构建。以1 971个种水平代表基因组为参考，采用EMBOSS getorf（v6.6.0.0；参数-find 0 -table 11 -minsize 15 -maxsize 150，其长度参数以核苷酸为单位，对应5—50个氨基酸）进行全六框sORF预测，共获得219 305 235条原始sORF序列；随后以氨基酸序列本身为哈希键，采用自编Perl脚本进行序列级精确去冗余，最终构建包含91 392 612条非冗余多肽的微生物源短肽库。序列头格式为&gt;sORF_&lt;MAG_ID&gt;_&lt;序号&gt; [MAG=&lt;MAG_ID&gt;]，使每一条多肽均可回溯至其来源代表基因组及原始临床样本。</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队列分层与四维度比较设计。为排除增龄效应与组间样本量不均衡的混杂，将476 例受试者按五个诊断阶段（认知正常NC、主观认知症状SCS、主观认知下降SCD、轻度认知障碍MCI、阿尔茨海默病AD）×两种性别×三个年龄段交叉划分为30个分层单元，并采用以最短板为约束的分层抽样策略，构建包含265 例受试者的严格匹配亚队列（各阶段53 例；每组女性35 例、男性18 例；组间平均年龄最大差值1.8岁）。在此基础上定义四个平行分析队列：匹配265 例的五阶段队列、匹配亚队列的NC对AD二元队列、全476 例的五阶段队列、全队列的NC对AD二元队列，以兼顾混杂控制与统计效能。指标层面以单位基因组sORF数（sORF_per_MAG）为主要结局，sORF总数（Total_sORF）为次要结局，代表基因组数（N_MAG）作为偏倚诊断指标。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深度学习模型构建与候选抗菌肽差异分析。构建DeepMetaAMP模型：以蛋白质语言模型ESM-2提取序列表征，接入Transformer/BiLSTM编码器与注意力池化分类头；正样本由c_AMPs-prediction数据集的1 085条实验验证或高置信度抗菌肽构成，并补充APD3、DRAMP与AMPSphere数据库序列，负样本为58 776条non-AMPs序列；训练采用AdamW优化器与Focal Loss，以AUC、F1与Precision@k评价模型性能，并以AMPSphere序列构建外部独立测试集。随后对91 392 612条非冗余多肽进行批量推理以筛选候选抗菌肽；将各样本clean reads回贴至代表基因组并计算覆盖度，构建样本×候选多肽丰度矩阵，在四个队列中分别以Kruskal-Wallis H检验与Mann-Whitney U检验比较组间差异，采用Benjamini-Hochberg法控制错误发现率，并结合注意力权重与SHAP值解析关键序列基序。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数据获取、质量控制与去宿主处理（476 例）：2026年1月—4月，已完成（100%）。</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从头组装、多算法联合分箱、质量评估与种水平去冗余：2026年4月—7月，已完成（100%），产出22 582个MAGs、757 个MIMAG高质量基因组与1 971个种水平代表基因组。</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sORF预测与非冗余多肽库构建：2026年6月—8月，已完成（100%），产出91 392 612条非冗余多肽。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队列分层设计与四个分析队列构建：2026年8月，已完成（100%）。</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sORF数量层面的描述性统计与组间检验：2026年8月—9月，已完成（100%）；四个队列共12项检验均未发现具有统计学意义的组间差异（P=0.4291—0.9786）。</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模型训练数据集整理与DeepMetaAMP模型训练、调优：2026年9月—11月，进行中；正负样本数据集、序列表征流程与训练框架已就绪。</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全量多肽批量推理与候选抗菌肽筛选：2026年11月—2027年1月，待开展。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候选抗菌肽组间差异分析、可解释性分析与论文撰写：2027年1月—4月，待开展。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截至本次中期检查，论文整体研究进度约为65%，与开题报告所列进度安排基本一致。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已完成476 例受试者宏基因组数据的标准化处理与下游挖掘，构建了规模较大的肠道微生物源短肽资源库：共获得22 582个MAGs，其中757 个达到MIMAG高质量标准；去冗余后获得1 971个种水平代表基因组，覆盖459 例受试者。在此基础上完成全六框sORF预测与序列级精确去冗余，得到91 392 612条长度为5—50个氨基酸的非冗余多肽序列，每条序列均保留至来源基因组与临床样本的溯源信息，可直接用于抗菌肽预测与组间差异分析，亦可作为后续同类研究的参考数据集。</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（二）方法学成果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建立了"质量控制—去宿主—从头组装—多算法联合分箱—质量分级—种水平去冗余—sORF预测—序列级精确去冗余"的全自动分析流程（SLURM集群，48线程/150GB内存增强配置），具备良好的可重复性与可移植性。同时建立了"主要结局sORF_per_MAG＋次要结局Total_sORF＋偏倚诊断指标N_MAG"的三级指标体系，用于区分组装质量偏倚与真实生物学差异，为同类宏基因组短肽研究提供了方法参考。</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（三）阶段性分析结果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在年龄与性别严格匹配的265 例亚队列及全476 例队列中，四个队列共12项非参数检验均未发现sORF数量指标的组间差异（P=0.4291—0.9786）；主要结局指标sORF_per_MAG在匹配队列与全队列中的效应方向不一致。组间相对差异（匹配队列9.4%、全队列5.5%）远小于单个代表基因组间sORF产出量的固有差异（约21.3倍），提示本研究观测到的组间波动主要来源于组装质量与贡献基因组数量的差异，而非单位基因组编码密度的真实改变。该结果说明AD病程中微生物源短肽的总体编码容量保持稳定，后续分析应转向序列组成与功能亚类（即候选抗菌肽）而非总量层面，从而明确了下一步研究的技术方向。相关描述性统计与非参数检验结果已整理为表1与表2。</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（四）成果形式</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已形成可复现的分析脚本与分析记录；完成模型训练所需正负样本数据集的整理（1 085条阳性、58 776条阴性）；完成候选抗菌肽组间差异分析的统计方案设计。阶段性成果中暂无以第一作者公开发表的学术论文。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暂无以第一作者公开发表的学术论文，亦无以本研究为基础的投稿记录。目前已具备完整的数据资源与分析框架，计划在完成候选抗菌肽预测与组间差异分析后，以第一作者撰写并投稿SCI收录论文1篇，投稿方向为微生物组学与生物信息学领域国际期刊；学位论文计划于2027年上半年完成初稿并申请预答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（一）DeepMetaAMP模型的训练与性能评估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模型训练、超参数调优与独立验证。方案：以ESM-2蛋白质语言模型提取序列表征，引入Transformer/BiLSTM编码器与注意力池化层实现分类；正样本采用c_AMPs-prediction的1 085条抗菌肽并补充APD3、DRAMP与AMPSphere序列，负样本采用58 776条non-AMPs序列；以CD-HIT在40%一致性阈值下划分训练集、验证集与测试集，避免同源序列泄漏；采用AdamW优化器与Focal Loss缓解正负样本不平衡；以AUC、F1、Precision@k与MCC综合评价，并以AMPSphere序列构建外部独立测试集检验泛化能力。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（二）全量多肽的批量推理与候选抗菌肽筛选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91 392 612条非冗余多肽完成预测并筛选候选抗菌肽。方案：采用GPU半精度分批推理以控制显存占用与运行时间；依据验证集确定分类阈值并保留高置信度候选序列；将候选序列与DRAMP、APD3、AMPSphere进行同源比对，剔除已知抗菌肽家族序列后保留新颖候选；统计候选抗菌肽的长度分布、净电荷、疏水矩等理化性质及其物种归属。</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（三）候选抗菌肽的组间差异分析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内容：解析候选抗菌肽在AD病程中的丰度与组成差异。方案：以Bowtie2/BWA将各样本clean reads回贴至1 971个代表基因组，采用CoverM计算候选sORF的覆盖度与丰度，构建样本×候选抗菌肽丰度矩阵并进行中心化对数比（CLR）变换；在四个队列中分别以Kruskal-Wallis H检验（五阶段比较）与双尾Mann-Whitney U检验（NC对AD比较）评估组间差异，采用Benjamini-Hochberg法控制错误发现率，以Cliff's delta报告效应量；同时以PCoA与PERMANOVA评估整体组成差异，并以随机森林或XGBoost结合交叉验证评估候选抗菌肽对分组状态的判别能力。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（四）分阶段特征刻画与临床指标关联</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刻画候选抗菌肽随病程演变的动态特征。方案：采用Jonckheere-Terpstra趋势检验评估候选抗菌肽在NC→SCS→SCD→MCI→AD序列上的单调趋势；将显著候选抗菌肽的相对丰度与MMSE、MoCA评分进行偏相关分析（校正年龄、性别、BMI与用药情况），识别与认知功能相关的候选分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（五）可解释性分析与生物学验证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阐明候选抗菌肽的序列决定因素并评估其可信度。方案：以注意力权重与SHAP值定位对分类贡献关键的氨基酸位点，采用MEME挖掘候选序列的保守基序并与已知抗菌肽家族比较；结合净电荷、疏水性与两亲性螺旋倾向等理化特征评估候选序列的合理性；在条件允许时联合合作课题组开展体外抑菌实验（MIC测定）验证部分候选序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（六）学位论文撰写与答辩准备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学位论文撰写与成果发表。方案：按Introduction—Results—Discussion—Methods结构撰写SCI论文1篇并完成图表制作，在此基础上扩写学位论文；预计2027年1月—3月完成论文初稿，2027年4月完成修改并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（七）存在的问题与应对措施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去冗余后17 例受试者无代表基因组入选。应对：在丰度层面的分析中改用全量22 582个MAGs进行reads回贴，恢复样本覆盖，避免因参考集筛选造成样本缺失。</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候选抗菌肽的假阳性风险。应对：以同源过滤、理化性质一致性评估与外部独立测试集三重策略控制，并尽可能辅以体外实验验证。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深度学习模型在宏基因组长尾序列上的泛化能力。应对：采用多次随机种子重复训练与独立数据集验证，并报告性能的不确定性区间。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fldChar w:fldCharType="begin">
                <w:ffData>
                  <w:name w:val="文字2"/>
                  <w:enabled/>
                  <w:calcOnExit w:val="0"/>
                  <w:textInput/>
                </w:ffData>
              </w:fldChar>
            </w:r>
            <w:r>
              <w:rPr>
                <w:rFonts w:ascii="宋体" w:hAnsi="宋体"/>
                <w:color w:val="000000" w:themeColor="text1"/>
                <w:sz w:val="24"/>
                <w14:textFill>
                  <w14:solidFill>
                    <w14:schemeClr w14:val="tx1"/>
                  </w14:solidFill>
                </w14:textFill>
              </w:rPr>
              <w:instrText xml:space="preserve"> </w:instrText>
            </w:r>
            <w:r>
              <w:rPr>
                <w:rFonts w:hint="eastAsia" w:ascii="宋体" w:hAnsi="宋体"/>
                <w:color w:val="000000" w:themeColor="text1"/>
                <w:sz w:val="24"/>
                <w14:textFill>
                  <w14:solidFill>
                    <w14:schemeClr w14:val="tx1"/>
                  </w14:solidFill>
                </w14:textFill>
              </w:rPr>
              <w:instrText xml:space="preserve">FORMTEXT</w:instrText>
            </w:r>
            <w:r>
              <w:rPr>
                <w:rFonts w:ascii="宋体" w:hAnsi="宋体"/>
                <w:color w:val="000000" w:themeColor="text1"/>
                <w:sz w:val="24"/>
                <w14:textFill>
                  <w14:solidFill>
                    <w14:schemeClr w14:val="tx1"/>
                  </w14:solidFill>
                </w14:textFill>
              </w:rPr>
              <w:instrText xml:space="preserve"> </w:instrText>
            </w:r>
            <w:r>
              <w:rPr>
                <w:rFonts w:ascii="宋体" w:hAnsi="宋体"/>
                <w:color w:val="000000" w:themeColor="text1"/>
                <w:sz w:val="24"/>
                <w14:textFill>
                  <w14:solidFill>
                    <w14:schemeClr w14:val="tx1"/>
                  </w14:solidFill>
                </w14:textFill>
              </w:rPr>
              <w:fldChar w:fldCharType="separate"/>
            </w:r>
            <w:r>
              <w:rPr>
                <w:rFonts w:ascii="宋体" w:hAnsi="宋体"/>
                <w:color w:val="000000" w:themeColor="text1"/>
                <w:sz w:val="24"/>
                <w14:textFill>
                  <w14:solidFill>
                    <w14:schemeClr w14:val="tx1"/>
                  </w14:solidFill>
                </w14:textFill>
              </w:rPr>
              <w:t>     </w:t>
            </w:r>
            <w:r>
              <w:rPr>
                <w:rFonts w:ascii="宋体" w:hAnsi="宋体"/>
                <w:color w:val="000000" w:themeColor="text1"/>
                <w:sz w:val="24"/>
                <w14:textFill>
                  <w14:solidFill>
                    <w14:schemeClr w14:val="tx1"/>
                  </w14:solidFill>
                </w14:textFill>
              </w:rPr>
              <w:fldChar w:fldCharType="end"/>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