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AD）是以进行性认知功能下降为主要表现的神经退行性疾病，主要病理特征包括 β-淀粉样肽沉积、tau 蛋白异常磷酸化与慢性神经炎症。现有药物以对症治疗为主，可在一定程度上延缓认知衰退，但难以阻止病程进展，因此从新的角度寻找与病程相关的效应分子和潜在干预靶点，具有明确的科学意义与应用价值。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也与"肠—脑轴"介导的肠道微生物组改变有关。肠道微生物组失衡可通过代谢产物、免疫细胞活化与神经信号通路等途径影响中枢神经系统的炎症状态与血脑屏障功能，构成了"外周—中枢"相互作用的重要一环。微生物基因组中的小开放阅读框能够编码长度较短的肽段，其中包含具有抗菌与免疫调节功能的抗菌肽（antimicrobial peptides, AMPs）。微生物源抗菌肽直接存在于肠腔，可与肠道上皮与免疫细胞互作，是连接微生物刺激与神经炎症的潜在效应分子，具备作为研究切入点的合理性。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本研究的意义体现在两个方面：其一，把抗菌肽研究从通用的序列预测推进到特定人群、特定病程阶段，为理解 AD 的微生物组机制提供候选分子与新的观察角度；其二，建立一套可复用的分析框架——宏基因组数据与参考集构建、短肽库构建、深度学习预测、分阶段差异比较、表达证据去重与特有肽筛选、机制关联与活性验证——该框架同样适用于其他疾病队列与微生物组研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微生物组—肠—脑轴"的作用框架；但多数研究停留在菌群分类单元与通路的关联描述层面，缺少落到具体效应分子及其作用机制的实验性证据，因果关系仍不清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在抗菌肽研究与预测方法方面，公共数据库和预测工具已相对成熟，深度学习模型被广泛用于从基因组、宏基因组与蛋白质序列中识别具有抗菌潜力的肽段，Attention、LSTM、BERT 等结构在不同任务中各有优势。然而，现有抗菌肽研究大多基于通用训练数据集与宿主来源序列，较少面向特定疾病人群，也较少按认知功能阶段分层比较；同时，单一模型的预测结果受训练集偏倚影响较大，容易产生假阳性，需要多模型互证与表达层面的证据加以约束。</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人群的公开宏基因组队列为对象：在序列层面构建微生物源短肽库，在预测层面采用多个模型独立预测并取共识结果，在统计与表达层面按认知阶段比较差异并以宏蛋白组证据二次去重，在功能层面从 AD 发病机制关联与抑菌活性两个方向开展初步验证。这一设计针对现有研究在人群针对性、阶段分层、证据层次三方面的不足，构成本研究的切入点与特色。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参考集的处理、建立可追溯的非冗余短肽库；获得经多模型共识判定且经表达证据去重的候选抗菌肽集合；得到分阶段差异抗菌肽与健康人／各阶段特有的抗菌肽清单；形成候选抗菌肽与 AD 发病机制关联的分析结果；完成候选抗菌肽抑菌活性的最小化实验验证。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并注意参考集的物种多样性，尽量减少因组装质量差异带来的样本偏倚，为后续序列预测与丰度比较提供统一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集基础上预测小开放阅读框，去除冗余与低可信序列，构建覆盖全队列、来源可追溯的非冗余短肽库；库中每条序列均保留样本来源与基因组来源信息，保证结果可回溯、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 Attention、LSTM 与 BERT 三个深度学习模型对短肽库进行相互独立的预测，只有在三个模型上均被判为阳性的序列才纳入候选抗菌肽集合，以降低单一模型的偏倚、提高候选集合的可信度。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分阶段抗菌肽差异分析。按认知功能将队列划分为健康人群与各疾病阶段，在统一的丰度与组成口径下比较各阶段与健康人群之间候选抗菌肽的差异，识别随病程变化明显的候选抗菌肽，为特异肽筛选提供依据。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无表达证据的序列，实现二次去重；再按组内共有与组间特有的比较策略，得到健康人群特有与各疾病阶段特有的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发病机制的关联分析。参照乙酰胆碱酯酶—β-淀粉样肽复合物分子模拟研究的思路，从三个方向考察特有抗菌肽与 AD 发病机制的关联：与 β-淀粉样肽的相互作用及其对聚集过程的影响；与乙酰胆碱酯酶外周阴离子位点结合从而干扰成核过程的可能性；经免疫调节与炎症通路参与神经炎症的可能性。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的极简抑菌实验验证。选择少量有代表性的候选抗菌肽进行人工合成，以常见指示菌开展纸片扩散法初筛，并以微量肉汤稀释法测定最低抑菌浓度，用较小的工作量获得候选抗菌肽具有抑菌活性的直接证据，作为后续深入实验研究的先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第一层是数据与序列层：宏基因组数据经过统一处理形成微生物基因组参考集，再经小开放阅读框预测与去冗余形成微生物源短肽库。第二层是预测层：以三个深度学习模型独立预测，取一致阳性序列构成候选抗菌肽集合。第三层是统计与表达层：按认知阶段开展差异分析，并以宏蛋白组表达证据二次去重，得到健康人特有与各阶段特有的抗菌肽。第四层是功能层：对特有抗菌肽开展机制关联分析与抑菌实验验证，最终汇总为学位论文与投稿论文的图表与结论。各层次之间以统一的数据口径与可追溯的记录衔接，任一环节的结果均可回溯到原始样本与序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Attention、LSTM、BERT 三个模型的候选抗菌肽预测：已完成，已按三模型一致阳性的标准形成候选抗菌肽名单。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β-淀粉样肽聚集、乙酰胆碱酯酶结合以及免疫炎症通路相关的关联分析。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候选抗菌肽的极简抑菌实验验证：进行中，候选肽、指示菌与实验条件已确定，正在开展纸片扩散法初筛与最低抑菌浓度测定。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研究内容的主体部分（数据资源与短肽库、候选抗菌肽预测、分阶段差异分析与特有抗菌肽筛选）均已完成，当前工作集中在机制关联分析与实验验证两个环节，整体进度与开题报告拟定的安排基本一致，后续按计划推进即可按期完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处理与微生物基因组参考集构建，并在此基础上完成小开放阅读框预测与去冗余，建立了覆盖全队列、来源可追溯的非冗余微生物源短肽库。该短肽库可作为同类研究的基础数据，也是本课题后续全部分析的统一输入。相关处理流程已脚本化并整理为技术文档，具备可重复性与可移植性，便于在同类队列中复用。</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 Attention、LSTM 与 BERT 三个模型完成了对短肽库的独立预测，并以三模型一致阳性作为纳入标准，得到候选抗菌肽集合，形成了可用于后续比较与验证的候选名单。三模型共识的判定方式降低了单一模型带来的预测偏倚，提高了候选集合的可信度；该候选名单已与短肽库的溯源信息关联，便于核查与复算。</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识别出随病程变化明显的候选抗菌肽；进一步结合宏蛋白组表达证据完成二次去重，筛选出健康人群特有与各疾病阶段特有的抗菌肽，形成了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发病机制关联分析的技术方案：以分子对接与分子动力学模拟考察候选肽与 β-淀粉样肽、乙酰胆碱酯酶外周阴离子位点的结合情况与复合物稳定性，并结合文献比对与功能注释分析其可能涉及的免疫与炎症通路。同时完成了极简抑菌实验方案设计，明确了候选肽选择原则、指示菌、初筛与定量方法以及对照设置，方案在常规微生物实验室即可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已形成完整可重复的分析流程与技术文档；已形成候选抗菌肽名单、分阶段差异抗菌肽结果以及健康人／各阶段特有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本阶段工作表明，以公开宏基因组队列为基础、结合深度学习共识预测与宏蛋白组表达证据，可以从肠道微生物组中筛选出具有阶段特异性的候选抗菌肽；这类候选肽既可作为理解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暂无以第一作者公开发表的学术论文，亦无以本研究为基础的投稿记录。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目前研究主体工作已经完成，计划在完成机制关联分析与抑菌实验验证后，以第一作者撰写并投稿 SCI 收录学术论文 1 篇，并在此基础上完成学位论文，按培养计划申请预答辩。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内容：完成健康人特有肽与各阶段特有肽的功能关联分析，判断候选抗菌肽是否可能参与 AD 相关的病理过程，形成关联结果清单与相应的图表。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β-淀粉样肽、乙酰胆碱酯酶外周阴离子位点的结合模式与复合物稳定性，重点关注其对 β-淀粉样肽聚集过程与成核环节的可能影响；同时结合文献比对与功能注释，从免疫调节与炎症通路角度分析候选肽可能参与的作用环节。</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（二）候选抗菌肽的极简抑菌实验验证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内容：对少量有代表性的候选抗菌肽完成抑菌活性的最小化验证，为候选肽的生物学功能提供直接证据。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特有与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预期产出：候选抗菌肽抑菌活性的初步结果与活性—序列关系的初步观察，作为学位论文实验验证章节的主要内容。实验方案保持简单，不涉及复杂的动物实验或组学实验，可在常规微生物实验室按计划完成。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内容：完成全部结果的整理与论文撰写。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结果、健康人／各阶段特有抗菌肽清单以及机制关联与抑菌实验结果汇总为完整的图表与结论体系，按学位论文规范撰写学位论文；同时提炼方法学与结果亮点，整理为投稿论文，计划完成初稿后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预测结果可能存在假阳性。应对：以三模型共识判定提高候选集合可信度，再以宏蛋白组表达证据进行二次去重，最后通过抑菌实验对代表性候选肽做最小验证，形成层层递进的证据链。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部分样本缺少可用的参考基因组。应对：在丰度分析阶段改用全量基因组回填，恢复样本覆盖，避免参考集筛选造成样本缺失，并在结果中说明数据处理口径。</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实验验证工作量与时间存在冲突。应对：严格控制候选肽数量与实验内容，优先完成初筛与最低抑菌浓度测定；实验与论文撰写并行推进，预留缓冲时间。</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中期完成实验结果的整理与补充分析，形成完整的图表体系；后期集中进行学位论文撰写与投稿论文整理，按培养计划完成预答辩与学位申请。各环节均以已完成的数据资源与分析流程为基础，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fldChar w:fldCharType="begin">
                <w:ffData>
                  <w:name w:val="文字2"/>
                  <w:enabled/>
                  <w:calcOnExit w:val="0"/>
                  <w:textInput/>
                </w:ffData>
              </w:fldChar>
            </w:r>
            <w:r>
              <w:rPr>
                <w:rFonts w:ascii="宋体" w:hAnsi="宋体"/>
                <w:color w:val="000000" w:themeColor="text1"/>
                <w:sz w:val="24"/>
                <w14:textFill>
                  <w14:solidFill>
                    <w14:schemeClr w14:val="tx1"/>
                  </w14:solidFill>
                </w14:textFill>
              </w:rPr>
              <w:instrText xml:space="preserve"> </w:instrText>
            </w:r>
            <w:r>
              <w:rPr>
                <w:rFonts w:hint="eastAsia" w:ascii="宋体" w:hAnsi="宋体"/>
                <w:color w:val="000000" w:themeColor="text1"/>
                <w:sz w:val="24"/>
                <w14:textFill>
                  <w14:solidFill>
                    <w14:schemeClr w14:val="tx1"/>
                  </w14:solidFill>
                </w14:textFill>
              </w:rPr>
              <w:instrText xml:space="preserve">FORMTEXT</w:instrText>
            </w:r>
            <w:r>
              <w:rPr>
                <w:rFonts w:ascii="宋体" w:hAnsi="宋体"/>
                <w:color w:val="000000" w:themeColor="text1"/>
                <w:sz w:val="24"/>
                <w14:textFill>
                  <w14:solidFill>
                    <w14:schemeClr w14:val="tx1"/>
                  </w14:solidFill>
                </w14:textFill>
              </w:rPr>
              <w:instrText xml:space="preserve"> </w:instrText>
            </w:r>
            <w:r>
              <w:rPr>
                <w:rFonts w:ascii="宋体" w:hAnsi="宋体"/>
                <w:color w:val="000000" w:themeColor="text1"/>
                <w:sz w:val="24"/>
                <w14:textFill>
                  <w14:solidFill>
                    <w14:schemeClr w14:val="tx1"/>
                  </w14:solidFill>
                </w14:textFill>
              </w:rPr>
              <w:fldChar w:fldCharType="separate"/>
            </w:r>
            <w:r>
              <w:rPr>
                <w:rFonts w:ascii="宋体" w:hAnsi="宋体"/>
                <w:color w:val="000000" w:themeColor="text1"/>
                <w:sz w:val="24"/>
                <w14:textFill>
                  <w14:solidFill>
                    <w14:schemeClr w14:val="tx1"/>
                  </w14:solidFill>
                </w14:textFill>
              </w:rPr>
              <w:t>     </w:t>
            </w:r>
            <w:r>
              <w:rPr>
                <w:rFonts w:ascii="宋体" w:hAnsi="宋体"/>
                <w:color w:val="000000" w:themeColor="text1"/>
                <w:sz w:val="24"/>
                <w14:textFill>
                  <w14:solidFill>
                    <w14:schemeClr w14:val="tx1"/>
                  </w14:solidFill>
                </w14:textFill>
              </w:rPr>
              <w:fldChar w:fldCharType="end"/>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