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患者与健康人群肠道微生物组所编码的微生物源抗菌肽，阐明其在不同认知阶段的分布与组成差异，筛选出健康人群特有与各疾病阶段特有的候选抗菌肽，并初步建立这些候选抗菌肽与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健康人群特有与各阶段特有的抗菌肽清单；形成候选抗菌肽与 AD 发病机制关联的分析结果；完成候选抗菌肽抑菌活性的初步实验验证；在此基础上完成学位论文并整理投稿论文。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健康人群特有与各疾病阶段特有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候选抗菌肽抑菌实验验证。从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物种注释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健康人群特有与各阶段特有的抗菌肽。第四层是功能层：对特有抗菌肽开展机制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其余各项（分阶段差异分析、宏蛋白组二次去重与特有抗菌肽筛选、机制关联分析、抑菌实验验证、结果整理与论文撰写）为中期之后的工作，实施方案与所需材料已确定。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宏基因组数据处理与微生物基因组参考集构建、小开放阅读框预测与微生物源短肽库构建两项已全部完成，三模型共识预测已形成候选抗菌肽名单，构成了课题的主体分析基础；分阶段差异分析、宏蛋白组去重与特有抗菌肽筛选正在开展，机制关联分析、抑菌实验验证与论文撰写安排在后续阶段进行。</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截至本次中期检查，课题整体进度与开题报告拟定的安排基本一致：数据处理与预测环节已形成完整结果，后续分析所需的短肽库与候选名单已经具备，剩余工作的输入条件成熟，进度风险可控。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（三）分阶段差异分析与特有抗菌肽筛选（正在实施）</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分阶段差异分析已进入实施：按 NC、SCS、SCD、MCI 与 AD 五个认知阶段比较候选抗菌肽的丰度与组成差异，识别可能随病程变化的候选抗菌肽。该环节与后续的二次去重衔接，分析结果将作为特有抗菌肽筛选的输入。</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宏蛋白组表达证据二次去重按计划推进：在序列去冗余的基础上，逐步引入蛋白层面的表达证据，剔除缺少表达支持的序列，再按组内共有、组间特比较，筛选健康人群特有与各疾病阶段特有的抗菌肽。</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已完成特有抗菌肽与 AD 发病机制关联分析的技术方案设计：以分子对接与分子动力学模拟考察候选肽与β-淀粉样肽（Aβ）、乙酰胆碱酯酶（AChE）外周阴离子位点的结合情况与复合物稳定性，并结合文献比对与功能注释分析其可能涉及的免疫与炎症通路。相关分析按方案在下一阶段实施，候选肽的序列与结构准备、参数设置与流程搭建等前期工作已完成。</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名单为主要形式：已形成完整可重复的分析流程与技术文档；已形成候选抗菌肽名单及预测环节的统计信息；分阶段差异分析与特有抗菌肽筛选正在实施。阶段性成果中暂无以第一作者公开发表的学术论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患者与健康人群肠道微生物源抗菌肽的分阶段差异及特有肽筛选"为主要内容，重点阐述多模型共识预测与宏蛋白组表达证据去重相结合的分析框架，以及特有抗菌肽与 AD 发病机制关联的分析结果。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内容：完成健康人群特有肽与各阶段特有肽的功能关联分析，判断候选抗菌肽是否可能参与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健康人群特有与各阶段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健康人群特有与各阶段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预测结果可能存在假阳性。应对：以多模型共识判定提高候选集合的可信度，再以宏蛋白组表达证据二次去重，最后通过抑菌实验对代表性候选肽进行验证，形成层层递进的证据链。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分阶段差异分析与特有抗菌肽筛选尚在实施。应对：按既定流程推进，先完成差异比较与表达证据过滤，再冻结特有肽清单；后续机制关联分析与抑菌实验共用同一份清单，避免重复分析、控制工作量。</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机制关联分析的证据强度有限。应对：以分子对接与分子动力学模拟、文献比对为主，将研究定位为线索发现与假设提出，不夸大因果性结论。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论文选题与总体框架、研究方案与技术路线、阶段成果整理与学术规范等方面给予持续指导。研究实施阶段，针对单一模型预测容易产生假阳性的问题，指导采用多个模型独立预测、取一致阳性结果构成候选集合；对公开数据的来源与处理口径、分析流程的可复现性提出明确要求，强调区分计算预测与实验证据，并通过定期组会与阶段汇报督促研究进度。目前数据处理与预测环节已完成，分阶段差异分析与特有抗菌肽筛选正在推进，机制关联分析与抑菌实验验证已排入后续计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科研作风严谨，能够独立查阅文献、完成数据处理与建模工作，具备较好的生物信息学分析基础。中期阶段已完成全队列宏基因组数据处理、微生物源短肽库构建与多模型共识预测等主体分析工作，候选抗菌肽名单已经形成，进度与开题计划一致；对预测假阳性等问题已有明确处理办法，后续工作安排合理。同意该生参加学位论文预答辩。</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 xml:space="preserve"/>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 xml:space="preserve"/>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