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分析组成的完整链条，该框架同样适用于其他疾病队列与微生物组研究；其三，通过对候选抗菌肽与 AD 发病机制的关联分析，为后续更深入的机制研究提供线索与起点。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在体外可表现出抗菌活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发病机制关联方向开展初步分析。该设计针对已有研究在人群针对性、阶段分层与证据层次三方面的不足，构成本研究的切入点与特色。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特异性）的抗菌肽清单，作为机制关联分析的分析对象。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AChE）—β-淀粉样肽复合物分子模拟研究的思路，按致病方向考察候选抗菌肽与 AD 发病机制的关联：与 β-淀粉样肽的相互作用是否促进成核与聚集、把产物推向更毒的寡聚体；与 AChE 外周阴离子位点结合是否推动成核环节；经免疫调节与炎症通路是否放大神经炎症。分析结果以结合情况、复合物稳定性与通路层面的解释为主，用以判断 AD 特异性特有肽与 AD 的关联方向，研究定位为线索发现与假设提出。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结果整理与论文撰写。将候选抗菌肽名单、分阶段差异结果、AD 特异性特有抗菌肽清单以及 AD 特有肽与 AD 关联分析的结果汇总为完整的图表与结论体系，按学位论文规范完成学位论文撰写，并在此基础上整理投稿论文。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并把结论限定在计算与文献证据可以支持的范围之内，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特异性特有抗菌肽筛选四项已全部完成，构成了课题的主体分析部分；机制关联分析已进入实施阶段，分析方案已确定，属于按计划推进的收尾工作；结果整理与论文撰写已提前启动，与机制关联分析并行开展。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机制分析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特有肽清单同时具备可解释性与可验证性：一方面，清单中的序列携带完整的溯源信息与表达证据，结果链条清晰；另一方面，清单可直接作为机制关联分析的输入，使计算分析与机制解释之间形成闭环。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 AD 特异性特有的抗菌肽清单；已完成机制关联分析方案的设计并启动实施。阶段性成果中暂无以第一作者公开发表的学术论文。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微生物组机制的观察对象，也可作为后续机制研究的起点。研究按开题计划推进，主体分析工作已在中期完成，剩余工作以机制关联分析与论文撰写为主，整体风险可控。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截至目前，暂无以第一作者公开发表的学术论文，亦无以本研究为基础的投稿记录。相关工作尚处于结果整理与论文撰写阶段，数据与分析流程已基本完备，具备形成论文的条件。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在此基础上完成学位论文，按培养计划参加预答辩与学位申请。若机制关联分析得到稳定的结果，将进一步补充机制讨论与证据支持，作为学位论文的组成部分。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外周阴离子位点的结合模式与复合物稳定性，按致病方向重点关注其是否促进 Aβ 的成核与聚集、是否把产物推向更毒的寡聚体；同时结合文献比对与功能注释，从免疫调节与炎症通路角度分析候选肽可能参与的作用环节。分析过程中保留参数设置与轨迹分析结果，以保证结论可复核。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发病机制关联的分析结果，包括结合情况、稳定性评价与通路层面的解释；对证据较强的候选肽形成重点候选清单，为后续机制研究与论文讨论提供依据。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并以机制关联分析对代表性候选肽做进一步考察，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聚集与神经炎症，同时把研究定位为线索发现与假设提出，不夸大因果性结论；相关结果在论文中明确说明为计算预测与初步证据，并提出后续机制研究的方向。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近期以机制关联分析为主，围绕同一份 AD 特异性特有肽清单，从 Aβ 聚集、AChE 结合与免疫炎症通路三个方向依次推进，结果可相互印证。完成机制关联分析后集中进行结果整理与补充分析，形成完整的图表体系与结论框架，并同步整理投稿论文的材料。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特异性特有抗菌肽筛选等主体工作，结果可信，进度与开题计划一致；对预测假阳性、机制关联证据强度有限等问题已有明确处理办法，后续工作安排合理。同意该生参加学位论文预答辩。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pageBreakBefore/>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