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其余各项（分阶段差异分析、宏蛋白组二次去重与特有抗菌肽筛选、机制关联分析、抑菌实验验证、结果整理与论文撰写）为中期之后的工作，实施方案与所需材料已确定。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宏蛋白组表达证据二次去重按计划推进：在序列去冗余的基础上，逐步引入蛋白层面的表达证据，剔除缺少表达支持的序列，再按组内共有、组间特比较，筛选健康人群特有与各疾病阶段特有的抗菌肽。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β-淀粉样肽（Aβ）、乙酰胆碱酯酶（AChE）外周阴离子位点的结合情况与复合物稳定性，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分阶段差异分析与特有抗菌肽筛选尚在实施。应对：按既定流程推进，先完成差异比较与表达证据过滤，再冻结特有肽清单；后续机制关联分析与抑菌实验共用同一份清单，避免重复分析、控制工作量。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特有抗菌肽筛选正在推进，机制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张兴晓</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生物工程</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程仕伟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生物工程</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牟萍</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朱洪伟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鲍诚</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于馨</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