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AChE）—β-淀粉样肽复合物分子模拟研究的思路，从三个方向考察特有抗菌肽与 AD 发病机制的关联：与 β-淀粉样肽的相互作用及其对聚集与纤维化过程的影响；与 AChE 外周阴离子位点结合、从而干扰成核环节的可能性；经免疫调节与炎症通路参与神经炎症的可能性。分析结果以结合情况、复合物稳定性与通路层面的解释为主，研究定位为线索发现。</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结果整理与论文撰写。将候选抗菌肽名单、分阶段差异结果、特有抗菌肽清单以及机制关联与抑菌实验结果汇总为完整的图表与结论体系，按学位论文规范完成学位论文撰写，并在此基础上整理投稿论文。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健康人群特有与各阶段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外周阴离子位点的结合模式与复合物稳定性，重点关注其对 Aβ 聚集过程与成核环节的可能影响；同时结合文献比对与功能注释，从免疫调节与炎症通路角度分析候选肽可能参与的作用环节。分析过程中保留参数设置与轨迹分析结果，以保证结论可复核。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fldChar w:fldCharType="begin">
                <w:ffData>
                  <w:name w:val="文字2"/>
                  <w:enabled/>
                  <w:calcOnExit w:val="0"/>
                  <w:textInput/>
                </w:ffData>
              </w:fldChar>
            </w:r>
            <w:r>
              <w:rPr>
                <w:rFonts w:ascii="宋体" w:hAnsi="宋体"/>
                <w:color w:val="000000" w:themeColor="text1"/>
                <w:sz w:val="24"/>
                <w14:textFill>
                  <w14:solidFill>
                    <w14:schemeClr w14:val="tx1"/>
                  </w14:solidFill>
                </w14:textFill>
              </w:rPr>
              <w:instrText xml:space="preserve"> </w:instrText>
            </w:r>
            <w:r>
              <w:rPr>
                <w:rFonts w:hint="eastAsia" w:ascii="宋体" w:hAnsi="宋体"/>
                <w:color w:val="000000" w:themeColor="text1"/>
                <w:sz w:val="24"/>
                <w14:textFill>
                  <w14:solidFill>
                    <w14:schemeClr w14:val="tx1"/>
                  </w14:solidFill>
                </w14:textFill>
              </w:rPr>
              <w:instrText xml:space="preserve">FORMTEXT</w:instrText>
            </w:r>
            <w:r>
              <w:rPr>
                <w:rFonts w:ascii="宋体" w:hAnsi="宋体"/>
                <w:color w:val="000000" w:themeColor="text1"/>
                <w:sz w:val="24"/>
                <w14:textFill>
                  <w14:solidFill>
                    <w14:schemeClr w14:val="tx1"/>
                  </w14:solidFill>
                </w14:textFill>
              </w:rPr>
              <w:instrText xml:space="preserve"> </w:instrText>
            </w:r>
            <w:r>
              <w:rPr>
                <w:rFonts w:ascii="宋体" w:hAnsi="宋体"/>
                <w:color w:val="000000" w:themeColor="text1"/>
                <w:sz w:val="24"/>
                <w14:textFill>
                  <w14:solidFill>
                    <w14:schemeClr w14:val="tx1"/>
                  </w14:solidFill>
                </w14:textFill>
              </w:rPr>
              <w:fldChar w:fldCharType="separate"/>
            </w:r>
            <w:r>
              <w:rPr>
                <w:rFonts w:ascii="宋体" w:hAnsi="宋体"/>
                <w:color w:val="000000" w:themeColor="text1"/>
                <w:sz w:val="24"/>
                <w14:textFill>
                  <w14:solidFill>
                    <w14:schemeClr w14:val="tx1"/>
                  </w14:solidFill>
                </w14:textFill>
              </w:rPr>
              <w:t>     </w:t>
            </w:r>
            <w:r>
              <w:rPr>
                <w:rFonts w:ascii="宋体" w:hAnsi="宋体"/>
                <w:color w:val="000000" w:themeColor="text1"/>
                <w:sz w:val="24"/>
                <w14:textFill>
                  <w14:solidFill>
                    <w14:schemeClr w14:val="tx1"/>
                  </w14:solidFill>
                </w14:textFill>
              </w:rPr>
              <w:fldChar w:fldCharType="end"/>
            </w:r>
            <w:bookmarkStart w:id="1" w:name="_GoBack"/>
            <w:bookmarkEnd w:id="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