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其余各项（分阶段差异分析、宏蛋白组二次去重与特有抗菌肽筛选、机制关联分析、抑菌实验验证、结果整理与论文撰写）为中期之后的工作，实施方案与所需材料已确定。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宏基因组数据处理与微生物基因组参考集构建、小开放阅读框预测与微生物源短肽库构建两项已全部完成，三模型共识预测已形成候选抗菌肽名单，构成了课题的主体分析基础；分阶段差异分析、宏蛋白组去重与特有抗菌肽筛选正在开展，机制关联分析、抑菌实验验证与论文撰写安排在后续阶段进行。</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截至本次中期检查，课题整体进度与开题报告拟定的安排基本一致：数据处理与预测环节已形成完整结果，后续分析所需的短肽库与候选名单已经具备，剩余工作的输入条件成熟，进度风险可控。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（三）分阶段差异分析与特有抗菌肽筛选（正在实施）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分阶段差异分析已进入实施：按 NC、SCS、SCD、MCI 与 AD 五个认知阶段比较候选抗菌肽的丰度与组成差异，识别可能随病程变化的候选抗菌肽。该环节与后续的二次去重衔接，分析结果将作为特有抗菌肽筛选的输入。</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宏蛋白组表达证据二次去重按计划推进：在序列去冗余的基础上，逐步引入蛋白层面的表达证据，剔除缺少表达支持的序列，再按组内共有、组间特比较，筛选健康人群特有与各疾病阶段特有的抗菌肽。</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发病机制关联分析的技术方案设计：以分子对接与分子动力学模拟按致病方向考察候选肽与 β-淀粉样肽（Aβ）、乙酰胆碱酯酶（AChE）外周阴离子位点的结合情况与复合物稳定性，判断其是否促进 Aβ 的成核与聚集，并结合文献比对与功能注释分析其可能涉及的免疫与炎症通路。相关分析按方案在下一阶段实施，候选肽的序列与结构准备、参数设置与流程搭建等前期工作已完成。</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名单为主要形式：已形成完整可重复的分析流程与技术文档；已形成候选抗菌肽名单及预测环节的统计信息；分阶段差异分析与特有抗菌肽筛选正在实施。阶段性成果中暂无以第一作者公开发表的学术论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预测结果可能存在假阳性。应对：以多模型共识判定提高候选集合的可信度，再以宏蛋白组表达证据二次去重，最后通过抑菌实验对代表性候选肽进行验证，形成层层递进的证据链。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分阶段差异分析与特有抗菌肽筛选尚在实施。应对：按既定流程推进，先完成差异比较与表达证据过滤，再冻结特有肽清单；后续机制关联分析与抑菌实验共用同一份清单，避免重复分析、控制工作量。</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聚集与神经炎症，同时将研究定位为线索发现与假设提出，不夸大因果性结论。</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研究实施阶段，针对单一模型预测容易产生假阳性的问题，指导采用多个模型独立预测、取一致阳性结果构成候选集合；对公开数据的来源与处理口径、分析流程的可复现性提出明确要求，强调区分计算预测与实验证据，并通过定期组会与阶段汇报督促研究进度。目前数据处理与预测环节已完成，分阶段差异分析与特有抗菌肽筛选正在推进，机制关联分析与抑菌实验验证已排入后续计划。</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查阅文献、完成数据处理与建模工作，具备较好的生物信息学分析基础。中期阶段已完成全队列宏基因组数据处理、微生物源短肽库构建与多模型共识预测等主体分析工作，候选抗菌肽名单已经形成，进度与开题计划一致；对预测假阳性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