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AChE）—β-淀粉样肽复合物分子模拟研究的思路，按致病方向考察候选抗菌肽与 AD 发病机制的关联：与 β-淀粉样肽的相互作用是否促进成核与聚集、把产物推向更毒的寡聚体；与 AChE 外周阴离子位点结合是否推动成核环节；经免疫调节与炎症通路是否放大神经炎症。分析结果以结合情况、复合物稳定性与通路层面的解释为主，并给出验证优先序，研究定位为线索发现与假设提出。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外周阴离子位点的结合模式与复合物稳定性，按致病方向重点关注其是否促进 Aβ 的成核与聚集、是否把产物推向更毒的寡聚体；同时结合文献比对与功能注释，从免疫调节与炎症通路角度分析候选肽可能参与的作用环节。分析过程中保留参数设置与轨迹分析结果，以保证结论可复核。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pageBreakBefore/>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pageBreakBefore/>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特有抗菌肽筛选等主体工作，结果可信，进度与开题计划一致；对预测假阳性、部分样本缺少可用参考基因组、机制关联证据强度有限等问题已有明确处理办法，后续工作安排合理。同意该生参加学位论文预答辩。</w:t>
            </w: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pageBreakBefore/>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