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00" w:line="288" w:lineRule="auto"/>
        <w:jc w:val="center"/>
      </w:pPr>
      <w:r>
        <w:rPr>
          <w:rFonts w:ascii="Times New Roman" w:hAnsi="Times New Roman" w:eastAsia="微软雅黑"/>
          <w:b/>
          <w:i w:val="0"/>
          <w:color w:val="10305A"/>
          <w:sz w:val="48"/>
        </w:rPr>
        <w:t>深度学习筛选的肠道抗菌肽与 AD 病理关联机制</w:t>
      </w:r>
    </w:p>
    <w:p>
      <w:pPr>
        <w:spacing w:before="0" w:after="480" w:line="324" w:lineRule="auto"/>
        <w:jc w:val="center"/>
      </w:pPr>
      <w:r>
        <w:rPr>
          <w:rFonts w:ascii="Times New Roman" w:hAnsi="Times New Roman" w:eastAsia="微软雅黑"/>
          <w:b w:val="0"/>
          <w:i w:val="0"/>
          <w:color w:val="555555"/>
          <w:sz w:val="26"/>
        </w:rPr>
        <w:t>差异肽解释版：从 AD/健康差异，到风险样与保护样候选</w:t>
      </w:r>
    </w:p>
    <w:p>
      <w:pPr>
        <w:spacing w:before="0" w:after="600" w:line="324" w:lineRule="auto"/>
        <w:jc w:val="center"/>
      </w:pPr>
      <w:r>
        <w:rPr>
          <w:rFonts w:ascii="Times New Roman" w:hAnsi="Times New Roman" w:eastAsia="微软雅黑"/>
          <w:b/>
          <w:i w:val="0"/>
          <w:color w:val="1F2937"/>
          <w:sz w:val="24"/>
        </w:rPr>
        <w:t>核心纠偏：先筛选 AD 相关差异微生物源 AMP，再分层解释病理关联；Aβ 结合不是致病结论</w:t>
      </w:r>
    </w:p>
    <w:p>
      <w:pPr>
        <w:spacing w:before="0" w:after="60" w:line="324" w:lineRule="auto"/>
        <w:jc w:val="center"/>
      </w:pPr>
      <w:r>
        <w:rPr>
          <w:rFonts w:ascii="Times New Roman" w:hAnsi="Times New Roman" w:eastAsia="微软雅黑"/>
          <w:b w:val="0"/>
          <w:i w:val="0"/>
          <w:color w:val="555555"/>
          <w:sz w:val="21"/>
        </w:rPr>
        <w:t>生成时间：2026-09-26 10:25 北京时间</w:t>
      </w:r>
    </w:p>
    <w:p>
      <w:pPr>
        <w:spacing w:before="0" w:after="60" w:line="324" w:lineRule="auto"/>
        <w:jc w:val="center"/>
      </w:pPr>
      <w:r>
        <w:rPr>
          <w:rFonts w:ascii="Times New Roman" w:hAnsi="Times New Roman" w:eastAsia="微软雅黑"/>
          <w:b w:val="0"/>
          <w:i w:val="0"/>
          <w:color w:val="555555"/>
          <w:sz w:val="21"/>
        </w:rPr>
        <w:t>对应课题：基于深度学习的 AD 患者与健康人群肠道微生物组 AMP 差异性研究</w:t>
      </w:r>
    </w:p>
    <w:p>
      <w:pPr>
        <w:spacing w:before="0" w:after="60" w:line="324" w:lineRule="auto"/>
        <w:jc w:val="center"/>
      </w:pPr>
      <w:r>
        <w:rPr>
          <w:rFonts w:ascii="Times New Roman" w:hAnsi="Times New Roman" w:eastAsia="微软雅黑"/>
          <w:b w:val="0"/>
          <w:i w:val="0"/>
          <w:color w:val="555555"/>
          <w:sz w:val="21"/>
        </w:rPr>
        <w:t>主对象：AD 相关差异微生物源 AMP；保护/抑制肽仅作为功能亚类；预测、差异、机制和因果分层</w:t>
      </w:r>
    </w:p>
    <w:p>
      <w:pPr>
        <w:spacing w:before="0" w:after="60" w:line="324" w:lineRule="auto"/>
        <w:jc w:val="center"/>
      </w:pPr>
      <w:r>
        <w:rPr>
          <w:rFonts w:ascii="Times New Roman" w:hAnsi="Times New Roman" w:eastAsia="微软雅黑"/>
          <w:b w:val="0"/>
          <w:i w:val="0"/>
          <w:color w:val="555555"/>
          <w:sz w:val="21"/>
        </w:rPr>
        <w:t>重要说明：当前仓库没有实际候选 FASTA、丰度矩阵或 FDR 表，AMP-C01 等均为占位符</w:t>
      </w:r>
    </w:p>
    <w:p>
      <w:r>
        <w:br w:type="page"/>
      </w:r>
    </w:p>
    <w:p>
      <w:pPr>
        <w:spacing w:before="0" w:after="240" w:line="324" w:lineRule="auto"/>
        <w:jc w:val="center"/>
      </w:pPr>
      <w:r>
        <w:rPr>
          <w:rFonts w:ascii="Times New Roman" w:hAnsi="Times New Roman" w:eastAsia="微软雅黑"/>
          <w:b/>
          <w:i w:val="0"/>
          <w:color w:val="10305A"/>
          <w:sz w:val="32"/>
        </w:rPr>
        <w:t>目　录</w:t>
      </w:r>
    </w:p>
    <w:p>
      <w:pPr>
        <w:spacing w:before="0" w:after="40" w:line="324" w:lineRule="auto"/>
      </w:pPr>
      <w:r>
        <w:rPr>
          <w:rFonts w:ascii="Times New Roman" w:hAnsi="Times New Roman" w:eastAsia="微软雅黑"/>
          <w:b/>
          <w:i w:val="0"/>
          <w:color w:val="10305A"/>
          <w:sz w:val="23"/>
        </w:rPr>
        <w:t>先给结论：你老师要看的不是“能不能和 Aβ 结合”</w:t>
      </w:r>
    </w:p>
    <w:p>
      <w:pPr>
        <w:spacing w:before="0" w:after="40" w:line="324" w:lineRule="auto"/>
      </w:pPr>
      <w:r>
        <w:rPr>
          <w:rFonts w:ascii="Times New Roman" w:hAnsi="Times New Roman" w:eastAsia="微软雅黑"/>
          <w:b/>
          <w:i w:val="0"/>
          <w:color w:val="10305A"/>
          <w:sz w:val="23"/>
        </w:rPr>
        <w:t>一、你的论文与 AD 病理机制到底是什么关系</w:t>
      </w:r>
    </w:p>
    <w:p>
      <w:pPr>
        <w:spacing w:before="0" w:after="20" w:line="324" w:lineRule="auto"/>
      </w:pPr>
      <w:r>
        <w:rPr>
          <w:rFonts w:ascii="Times New Roman" w:hAnsi="Times New Roman" w:eastAsia="微软雅黑"/>
          <w:b w:val="0"/>
          <w:i w:val="0"/>
          <w:color w:val="555555"/>
          <w:sz w:val="21"/>
        </w:rPr>
        <w:t xml:space="preserve">　　1.1 论文主问题与机制问题的关系</w:t>
      </w:r>
    </w:p>
    <w:p>
      <w:pPr>
        <w:spacing w:before="0" w:after="20" w:line="324" w:lineRule="auto"/>
      </w:pPr>
      <w:r>
        <w:rPr>
          <w:rFonts w:ascii="Times New Roman" w:hAnsi="Times New Roman" w:eastAsia="微软雅黑"/>
          <w:b w:val="0"/>
          <w:i w:val="0"/>
          <w:color w:val="555555"/>
          <w:sz w:val="21"/>
        </w:rPr>
        <w:t xml:space="preserve">　　1.2 给老师解释的一句话</w:t>
      </w:r>
    </w:p>
    <w:p>
      <w:pPr>
        <w:spacing w:before="0" w:after="40" w:line="324" w:lineRule="auto"/>
      </w:pPr>
      <w:r>
        <w:rPr>
          <w:rFonts w:ascii="Times New Roman" w:hAnsi="Times New Roman" w:eastAsia="微软雅黑"/>
          <w:b/>
          <w:i w:val="0"/>
          <w:color w:val="10305A"/>
          <w:sz w:val="23"/>
        </w:rPr>
        <w:t>二、从“差异肽”到“AD 病理候选肽”的分层框架</w:t>
      </w:r>
    </w:p>
    <w:p>
      <w:pPr>
        <w:spacing w:before="0" w:after="20" w:line="324" w:lineRule="auto"/>
      </w:pPr>
      <w:r>
        <w:rPr>
          <w:rFonts w:ascii="Times New Roman" w:hAnsi="Times New Roman" w:eastAsia="微软雅黑"/>
          <w:b w:val="0"/>
          <w:i w:val="0"/>
          <w:color w:val="555555"/>
          <w:sz w:val="21"/>
        </w:rPr>
        <w:t xml:space="preserve">　　2.1 四类候选肽</w:t>
      </w:r>
    </w:p>
    <w:p>
      <w:pPr>
        <w:spacing w:before="0" w:after="20" w:line="324" w:lineRule="auto"/>
      </w:pPr>
      <w:r>
        <w:rPr>
          <w:rFonts w:ascii="Times New Roman" w:hAnsi="Times New Roman" w:eastAsia="微软雅黑"/>
          <w:b w:val="0"/>
          <w:i w:val="0"/>
          <w:color w:val="555555"/>
          <w:sz w:val="21"/>
        </w:rPr>
        <w:t xml:space="preserve">　　2.2 候选肽机制评分，而不是只看一次 P 值</w:t>
      </w:r>
    </w:p>
    <w:p>
      <w:pPr>
        <w:spacing w:before="0" w:after="40" w:line="324" w:lineRule="auto"/>
      </w:pPr>
      <w:r>
        <w:rPr>
          <w:rFonts w:ascii="Times New Roman" w:hAnsi="Times New Roman" w:eastAsia="微软雅黑"/>
          <w:b/>
          <w:i w:val="0"/>
          <w:color w:val="10305A"/>
          <w:sz w:val="23"/>
        </w:rPr>
        <w:t>三、三条最合理的病理关联路径</w:t>
      </w:r>
    </w:p>
    <w:p>
      <w:pPr>
        <w:spacing w:before="0" w:after="20" w:line="324" w:lineRule="auto"/>
      </w:pPr>
      <w:r>
        <w:rPr>
          <w:rFonts w:ascii="Times New Roman" w:hAnsi="Times New Roman" w:eastAsia="微软雅黑"/>
          <w:b w:val="0"/>
          <w:i w:val="0"/>
          <w:color w:val="555555"/>
          <w:sz w:val="21"/>
        </w:rPr>
        <w:t xml:space="preserve">　　3.1 主路径：肠道生态选择 → 屏障/炎症 → 脑内病理</w:t>
      </w:r>
    </w:p>
    <w:p>
      <w:pPr>
        <w:spacing w:before="0" w:after="20" w:line="324" w:lineRule="auto"/>
      </w:pPr>
      <w:r>
        <w:rPr>
          <w:rFonts w:ascii="Times New Roman" w:hAnsi="Times New Roman" w:eastAsia="微软雅黑"/>
          <w:b w:val="0"/>
          <w:i w:val="0"/>
          <w:color w:val="555555"/>
          <w:sz w:val="21"/>
        </w:rPr>
        <w:t xml:space="preserve">　　3.2 次路径：候选肽或来源菌诱导宿主 AMP/炎症</w:t>
      </w:r>
    </w:p>
    <w:p>
      <w:pPr>
        <w:spacing w:before="0" w:after="20" w:line="324" w:lineRule="auto"/>
      </w:pPr>
      <w:r>
        <w:rPr>
          <w:rFonts w:ascii="Times New Roman" w:hAnsi="Times New Roman" w:eastAsia="微软雅黑"/>
          <w:b w:val="0"/>
          <w:i w:val="0"/>
          <w:color w:val="555555"/>
          <w:sz w:val="21"/>
        </w:rPr>
        <w:t xml:space="preserve">　　3.3 低优先级路径：候选肽直接入脑或直接作用于 Aβ</w:t>
      </w:r>
    </w:p>
    <w:p>
      <w:pPr>
        <w:spacing w:before="0" w:after="40" w:line="324" w:lineRule="auto"/>
      </w:pPr>
      <w:r>
        <w:rPr>
          <w:rFonts w:ascii="Times New Roman" w:hAnsi="Times New Roman" w:eastAsia="微软雅黑"/>
          <w:b/>
          <w:i w:val="0"/>
          <w:color w:val="10305A"/>
          <w:sz w:val="23"/>
        </w:rPr>
        <w:t>四、Aβ 结合到底能说明什么，不能说明什么</w:t>
      </w:r>
    </w:p>
    <w:p>
      <w:pPr>
        <w:spacing w:before="0" w:after="20" w:line="324" w:lineRule="auto"/>
      </w:pPr>
      <w:r>
        <w:rPr>
          <w:rFonts w:ascii="Times New Roman" w:hAnsi="Times New Roman" w:eastAsia="微软雅黑"/>
          <w:b w:val="0"/>
          <w:i w:val="0"/>
          <w:color w:val="555555"/>
          <w:sz w:val="21"/>
        </w:rPr>
        <w:t xml:space="preserve">　　4.1 病理样与抑制样的判别实验量</w:t>
      </w:r>
    </w:p>
    <w:p>
      <w:pPr>
        <w:spacing w:before="0" w:after="40" w:line="324" w:lineRule="auto"/>
      </w:pPr>
      <w:r>
        <w:rPr>
          <w:rFonts w:ascii="Times New Roman" w:hAnsi="Times New Roman" w:eastAsia="微软雅黑"/>
          <w:b/>
          <w:i w:val="0"/>
          <w:color w:val="10305A"/>
          <w:sz w:val="23"/>
        </w:rPr>
        <w:t>五、与论文题目直接衔接的完整计算流程</w:t>
      </w:r>
    </w:p>
    <w:p>
      <w:pPr>
        <w:spacing w:before="0" w:after="20" w:line="324" w:lineRule="auto"/>
      </w:pPr>
      <w:r>
        <w:rPr>
          <w:rFonts w:ascii="Times New Roman" w:hAnsi="Times New Roman" w:eastAsia="微软雅黑"/>
          <w:b w:val="0"/>
          <w:i w:val="0"/>
          <w:color w:val="555555"/>
          <w:sz w:val="21"/>
        </w:rPr>
        <w:t xml:space="preserve">　　5.1 输入端：476 样本和可追溯短肽库</w:t>
      </w:r>
    </w:p>
    <w:p>
      <w:pPr>
        <w:spacing w:before="0" w:after="20" w:line="324" w:lineRule="auto"/>
      </w:pPr>
      <w:r>
        <w:rPr>
          <w:rFonts w:ascii="Times New Roman" w:hAnsi="Times New Roman" w:eastAsia="微软雅黑"/>
          <w:b w:val="0"/>
          <w:i w:val="0"/>
          <w:color w:val="555555"/>
          <w:sz w:val="21"/>
        </w:rPr>
        <w:t xml:space="preserve">　　5.2 深度学习预测：它只做候选发现，不做病理判定</w:t>
      </w:r>
    </w:p>
    <w:p>
      <w:pPr>
        <w:spacing w:before="0" w:after="20" w:line="324" w:lineRule="auto"/>
      </w:pPr>
      <w:r>
        <w:rPr>
          <w:rFonts w:ascii="Times New Roman" w:hAnsi="Times New Roman" w:eastAsia="微软雅黑"/>
          <w:b w:val="0"/>
          <w:i w:val="0"/>
          <w:color w:val="555555"/>
          <w:sz w:val="21"/>
        </w:rPr>
        <w:t xml:space="preserve">　　5.3 差异分析：先选 AD 相关肽，再谈机制</w:t>
      </w:r>
    </w:p>
    <w:p>
      <w:pPr>
        <w:spacing w:before="0" w:after="20" w:line="324" w:lineRule="auto"/>
      </w:pPr>
      <w:r>
        <w:rPr>
          <w:rFonts w:ascii="Times New Roman" w:hAnsi="Times New Roman" w:eastAsia="微软雅黑"/>
          <w:b w:val="0"/>
          <w:i w:val="0"/>
          <w:color w:val="555555"/>
          <w:sz w:val="21"/>
        </w:rPr>
        <w:t xml:space="preserve">　　5.4 从差异肽到病理机制：四张网络</w:t>
      </w:r>
    </w:p>
    <w:p>
      <w:pPr>
        <w:spacing w:before="0" w:after="40" w:line="324" w:lineRule="auto"/>
      </w:pPr>
      <w:r>
        <w:rPr>
          <w:rFonts w:ascii="Times New Roman" w:hAnsi="Times New Roman" w:eastAsia="微软雅黑"/>
          <w:b/>
          <w:i w:val="0"/>
          <w:color w:val="10305A"/>
          <w:sz w:val="23"/>
        </w:rPr>
        <w:t>六、分子动力学应该怎么服务于你的论文</w:t>
      </w:r>
    </w:p>
    <w:p>
      <w:pPr>
        <w:spacing w:before="0" w:after="20" w:line="324" w:lineRule="auto"/>
      </w:pPr>
      <w:r>
        <w:rPr>
          <w:rFonts w:ascii="Times New Roman" w:hAnsi="Times New Roman" w:eastAsia="微软雅黑"/>
          <w:b w:val="0"/>
          <w:i w:val="0"/>
          <w:color w:val="555555"/>
          <w:sz w:val="21"/>
        </w:rPr>
        <w:t xml:space="preserve">　　6.1 第一优先级：候选 AMP 与肠道细菌膜/LPS</w:t>
      </w:r>
    </w:p>
    <w:p>
      <w:pPr>
        <w:spacing w:before="0" w:after="20" w:line="324" w:lineRule="auto"/>
      </w:pPr>
      <w:r>
        <w:rPr>
          <w:rFonts w:ascii="Times New Roman" w:hAnsi="Times New Roman" w:eastAsia="微软雅黑"/>
          <w:b w:val="0"/>
          <w:i w:val="0"/>
          <w:color w:val="555555"/>
          <w:sz w:val="21"/>
        </w:rPr>
        <w:t xml:space="preserve">　　6.2 第二优先级：候选 AMP 与免疫受体/炎症信号</w:t>
      </w:r>
    </w:p>
    <w:p>
      <w:pPr>
        <w:spacing w:before="0" w:after="20" w:line="324" w:lineRule="auto"/>
      </w:pPr>
      <w:r>
        <w:rPr>
          <w:rFonts w:ascii="Times New Roman" w:hAnsi="Times New Roman" w:eastAsia="微软雅黑"/>
          <w:b w:val="0"/>
          <w:i w:val="0"/>
          <w:color w:val="555555"/>
          <w:sz w:val="21"/>
        </w:rPr>
        <w:t xml:space="preserve">　　6.3 第三优先级：Aβ 与 BBB 只做条件性验证</w:t>
      </w:r>
    </w:p>
    <w:p>
      <w:pPr>
        <w:spacing w:before="0" w:after="20" w:line="324" w:lineRule="auto"/>
      </w:pPr>
      <w:r>
        <w:rPr>
          <w:rFonts w:ascii="Times New Roman" w:hAnsi="Times New Roman" w:eastAsia="微软雅黑"/>
          <w:b w:val="0"/>
          <w:i w:val="0"/>
          <w:color w:val="555555"/>
          <w:sz w:val="21"/>
        </w:rPr>
        <w:t xml:space="preserve">　　6.4 你真正要看的 MD/QM 结果</w:t>
      </w:r>
    </w:p>
    <w:p>
      <w:pPr>
        <w:spacing w:before="0" w:after="40" w:line="324" w:lineRule="auto"/>
      </w:pPr>
      <w:r>
        <w:rPr>
          <w:rFonts w:ascii="Times New Roman" w:hAnsi="Times New Roman" w:eastAsia="微软雅黑"/>
          <w:b/>
          <w:i w:val="0"/>
          <w:color w:val="10305A"/>
          <w:sz w:val="23"/>
        </w:rPr>
        <w:t>七、实际候选肽应该怎样填表和解释</w:t>
      </w:r>
    </w:p>
    <w:p>
      <w:pPr>
        <w:spacing w:before="0" w:after="20" w:line="324" w:lineRule="auto"/>
      </w:pPr>
      <w:r>
        <w:rPr>
          <w:rFonts w:ascii="Times New Roman" w:hAnsi="Times New Roman" w:eastAsia="微软雅黑"/>
          <w:b w:val="0"/>
          <w:i w:val="0"/>
          <w:color w:val="555555"/>
          <w:sz w:val="21"/>
        </w:rPr>
        <w:t xml:space="preserve">　　7.1 候选肽机制卡片模板</w:t>
      </w:r>
    </w:p>
    <w:p>
      <w:pPr>
        <w:spacing w:before="0" w:after="20" w:line="324" w:lineRule="auto"/>
      </w:pPr>
      <w:r>
        <w:rPr>
          <w:rFonts w:ascii="Times New Roman" w:hAnsi="Times New Roman" w:eastAsia="微软雅黑"/>
          <w:b w:val="0"/>
          <w:i w:val="0"/>
          <w:color w:val="555555"/>
          <w:sz w:val="21"/>
        </w:rPr>
        <w:t xml:space="preserve">　　7.2 不要伪造结果：当前仓库缺少实际候选清单</w:t>
      </w:r>
    </w:p>
    <w:p>
      <w:pPr>
        <w:spacing w:before="0" w:after="40" w:line="324" w:lineRule="auto"/>
      </w:pPr>
      <w:r>
        <w:rPr>
          <w:rFonts w:ascii="Times New Roman" w:hAnsi="Times New Roman" w:eastAsia="微软雅黑"/>
          <w:b/>
          <w:i w:val="0"/>
          <w:color w:val="10305A"/>
          <w:sz w:val="23"/>
        </w:rPr>
        <w:t>八、论文和答辩中可以直接使用的解释</w:t>
      </w:r>
    </w:p>
    <w:p>
      <w:pPr>
        <w:spacing w:before="0" w:after="20" w:line="324" w:lineRule="auto"/>
      </w:pPr>
      <w:r>
        <w:rPr>
          <w:rFonts w:ascii="Times New Roman" w:hAnsi="Times New Roman" w:eastAsia="微软雅黑"/>
          <w:b w:val="0"/>
          <w:i w:val="0"/>
          <w:color w:val="555555"/>
          <w:sz w:val="21"/>
        </w:rPr>
        <w:t xml:space="preserve">　　8.1 30 秒版本</w:t>
      </w:r>
    </w:p>
    <w:p>
      <w:pPr>
        <w:spacing w:before="0" w:after="20" w:line="324" w:lineRule="auto"/>
      </w:pPr>
      <w:r>
        <w:rPr>
          <w:rFonts w:ascii="Times New Roman" w:hAnsi="Times New Roman" w:eastAsia="微软雅黑"/>
          <w:b w:val="0"/>
          <w:i w:val="0"/>
          <w:color w:val="555555"/>
          <w:sz w:val="21"/>
        </w:rPr>
        <w:t xml:space="preserve">　　8.2 老师追问“你研究的是致病肽还是抑制剂”时</w:t>
      </w:r>
    </w:p>
    <w:p>
      <w:pPr>
        <w:spacing w:before="0" w:after="20" w:line="324" w:lineRule="auto"/>
      </w:pPr>
      <w:r>
        <w:rPr>
          <w:rFonts w:ascii="Times New Roman" w:hAnsi="Times New Roman" w:eastAsia="微软雅黑"/>
          <w:b w:val="0"/>
          <w:i w:val="0"/>
          <w:color w:val="555555"/>
          <w:sz w:val="21"/>
        </w:rPr>
        <w:t xml:space="preserve">　　8.3 结论的推荐措辞</w:t>
      </w:r>
    </w:p>
    <w:p>
      <w:pPr>
        <w:spacing w:before="0" w:after="40" w:line="324" w:lineRule="auto"/>
      </w:pPr>
      <w:r>
        <w:rPr>
          <w:rFonts w:ascii="Times New Roman" w:hAnsi="Times New Roman" w:eastAsia="微软雅黑"/>
          <w:b/>
          <w:i w:val="0"/>
          <w:color w:val="10305A"/>
          <w:sz w:val="23"/>
        </w:rPr>
        <w:t>九、限制、验证和下一步</w:t>
      </w:r>
    </w:p>
    <w:p>
      <w:pPr>
        <w:spacing w:before="0" w:after="40" w:line="324" w:lineRule="auto"/>
      </w:pPr>
      <w:r>
        <w:rPr>
          <w:rFonts w:ascii="Times New Roman" w:hAnsi="Times New Roman" w:eastAsia="微软雅黑"/>
          <w:b/>
          <w:i w:val="0"/>
          <w:color w:val="10305A"/>
          <w:sz w:val="23"/>
        </w:rPr>
        <w:t>附录：建议引用的关键文献分组</w:t>
      </w:r>
    </w:p>
    <w:p>
      <w:pPr>
        <w:spacing w:before="0" w:after="20" w:line="324" w:lineRule="auto"/>
      </w:pPr>
      <w:r>
        <w:rPr>
          <w:rFonts w:ascii="Times New Roman" w:hAnsi="Times New Roman" w:eastAsia="微软雅黑"/>
          <w:b w:val="0"/>
          <w:i w:val="0"/>
          <w:color w:val="555555"/>
          <w:sz w:val="21"/>
        </w:rPr>
        <w:t xml:space="preserve">　　A. AMP 发现与深度学习</w:t>
      </w:r>
    </w:p>
    <w:p>
      <w:pPr>
        <w:spacing w:before="0" w:after="20" w:line="324" w:lineRule="auto"/>
      </w:pPr>
      <w:r>
        <w:rPr>
          <w:rFonts w:ascii="Times New Roman" w:hAnsi="Times New Roman" w:eastAsia="微软雅黑"/>
          <w:b w:val="0"/>
          <w:i w:val="0"/>
          <w:color w:val="555555"/>
          <w:sz w:val="21"/>
        </w:rPr>
        <w:t xml:space="preserve">　　B. 肠道 AMP 与生态</w:t>
      </w:r>
    </w:p>
    <w:p>
      <w:pPr>
        <w:spacing w:before="0" w:after="20" w:line="324" w:lineRule="auto"/>
      </w:pPr>
      <w:r>
        <w:rPr>
          <w:rFonts w:ascii="Times New Roman" w:hAnsi="Times New Roman" w:eastAsia="微软雅黑"/>
          <w:b w:val="0"/>
          <w:i w:val="0"/>
          <w:color w:val="555555"/>
          <w:sz w:val="21"/>
        </w:rPr>
        <w:t xml:space="preserve">　　C. AD 肠道与炎症</w:t>
      </w:r>
    </w:p>
    <w:p>
      <w:pPr>
        <w:spacing w:before="0" w:after="20" w:line="324" w:lineRule="auto"/>
      </w:pPr>
      <w:r>
        <w:rPr>
          <w:rFonts w:ascii="Times New Roman" w:hAnsi="Times New Roman" w:eastAsia="微软雅黑"/>
          <w:b w:val="0"/>
          <w:i w:val="0"/>
          <w:color w:val="555555"/>
          <w:sz w:val="21"/>
        </w:rPr>
        <w:t xml:space="preserve">　　D. AMP、Aβ 与直接病理模板</w:t>
      </w:r>
    </w:p>
    <w:p>
      <w:pPr>
        <w:spacing w:before="0" w:after="20" w:line="324" w:lineRule="auto"/>
      </w:pPr>
      <w:r>
        <w:rPr>
          <w:rFonts w:ascii="Times New Roman" w:hAnsi="Times New Roman" w:eastAsia="微软雅黑"/>
          <w:b w:val="0"/>
          <w:i w:val="0"/>
          <w:color w:val="555555"/>
          <w:sz w:val="21"/>
        </w:rPr>
        <w:t xml:space="preserve">　　E. 计算方法</w:t>
      </w:r>
    </w:p>
    <w:p>
      <w:pPr>
        <w:spacing w:before="120" w:after="120" w:line="324" w:lineRule="auto"/>
      </w:pPr>
      <w:r>
        <w:rPr>
          <w:rFonts w:ascii="Times New Roman" w:hAnsi="Times New Roman" w:eastAsia="微软雅黑"/>
          <w:b/>
          <w:i w:val="0"/>
          <w:color w:val="10305A"/>
          <w:sz w:val="23"/>
        </w:rPr>
        <w:t>参考文献　（共 83 条，按正文首次出现顺序编号）</w:t>
      </w:r>
    </w:p>
    <w:p>
      <w:r>
        <w:br w:type="page"/>
      </w:r>
    </w:p>
    <w:p>
      <w:pPr>
        <w:spacing w:before="320" w:after="160" w:line="288" w:lineRule="auto"/>
      </w:pPr>
      <w:r>
        <w:rPr>
          <w:rFonts w:ascii="Times New Roman" w:hAnsi="Times New Roman" w:eastAsia="微软雅黑"/>
          <w:b/>
          <w:i w:val="0"/>
          <w:color w:val="10305A"/>
          <w:sz w:val="34"/>
        </w:rPr>
        <w:t>先给结论：你老师要看的不是“能不能和 Aβ 结合”</w:t>
      </w:r>
    </w:p>
    <w:p>
      <w:pPr>
        <w:spacing w:before="0" w:after="120" w:line="336" w:lineRule="auto"/>
        <w:ind w:firstLine="440"/>
      </w:pPr>
      <w:r>
        <w:rPr>
          <w:rFonts w:ascii="Times New Roman" w:hAnsi="Times New Roman" w:eastAsia="宋体"/>
          <w:b w:val="0"/>
          <w:i w:val="0"/>
          <w:color w:val="1F2937"/>
          <w:sz w:val="22"/>
        </w:rPr>
        <w:t>你的论文题目是《基于深度学习的阿尔茨海默症患者与健康人群肠道微生物组中抗菌肽的差异性研究》。因此主线应当是：从肠道宏基因组中预测抗菌肽，比较 AD 与健康人群中的差异，再判断这些差异肽是否能够通过肠道菌群、屏障、炎症或淀粉样蛋白过程与 AD 病理建立可检验的联系。深度学习预测本身只回答“它像不像抗菌肽”，不会自动回答“它是否导致 AD”。[1，2]</w:t>
      </w:r>
    </w:p>
    <w:p>
      <w:pPr>
        <w:spacing w:before="0" w:after="120" w:line="336" w:lineRule="auto"/>
        <w:ind w:firstLine="440"/>
      </w:pPr>
      <w:r>
        <w:rPr>
          <w:rFonts w:ascii="Times New Roman" w:hAnsi="Times New Roman" w:eastAsia="宋体"/>
          <w:b w:val="0"/>
          <w:i w:val="0"/>
          <w:color w:val="1F2937"/>
          <w:sz w:val="22"/>
        </w:rPr>
        <w:t>上一版把“AMP 与 Aβ 结合”讲得太像主结论，这是不准确的。Aβ 结合实验或模拟只能说明两个肽在某种构象和条件下存在分子相互作用；要解释 AD 病理，还必须继续问四件事：候选肽在人体哪个部位、实际是否表达和暴露、结合后把 Aβ 推向无毒还是有毒构象、是否能引起微胶质炎症或屏障损伤。没有这四步，不能把“结合”写成“导致 AD”。[3，4]</w:t>
      </w:r>
    </w:p>
    <w:p>
      <w:pPr>
        <w:spacing w:before="40" w:after="120" w:line="324" w:lineRule="auto"/>
        <w:ind w:firstLine="200"/>
      </w:pPr>
      <w:r>
        <w:rPr>
          <w:rFonts w:ascii="Times New Roman" w:hAnsi="Times New Roman" w:eastAsia="楷体"/>
          <w:b w:val="0"/>
          <w:i/>
          <w:color w:val="555555"/>
          <w:sz w:val="20"/>
        </w:rPr>
        <w:t>▶ 本版的中心词改为“筛选出的微生物源抗菌肽与 AD 病理的关联解释”，而不是“AMP-Aβ 相互作用综述”。</w:t>
      </w:r>
    </w:p>
    <w:p>
      <w:pPr>
        <w:spacing w:before="160" w:after="80" w:line="324" w:lineRule="auto"/>
      </w:pPr>
      <w:r>
        <w:rPr>
          <w:rFonts w:ascii="Times New Roman" w:hAnsi="Times New Roman" w:eastAsia="微软雅黑"/>
          <w:b/>
          <w:i w:val="0"/>
          <w:color w:val="10305A"/>
          <w:sz w:val="21"/>
        </w:rPr>
        <w:t>表 1　四个概念不要混在一起</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概念</w:t>
            </w:r>
          </w:p>
        </w:tc>
        <w:tc>
          <w:tcPr>
            <w:tcW w:type="dxa" w:w="2379"/>
            <w:shd w:val="clear" w:color="auto" w:fill="10305A"/>
          </w:tcPr>
          <w:p>
            <w:pPr>
              <w:jc w:val="center"/>
            </w:pPr>
            <w:r/>
            <w:r>
              <w:rPr>
                <w:rFonts w:ascii="Times New Roman" w:hAnsi="Times New Roman" w:eastAsia="微软雅黑"/>
                <w:b/>
                <w:i w:val="0"/>
                <w:color w:val="FFFFFF"/>
                <w:sz w:val="19"/>
              </w:rPr>
              <w:t>它回答什么</w:t>
            </w:r>
          </w:p>
        </w:tc>
        <w:tc>
          <w:tcPr>
            <w:tcW w:type="dxa" w:w="2379"/>
            <w:shd w:val="clear" w:color="auto" w:fill="10305A"/>
          </w:tcPr>
          <w:p>
            <w:pPr>
              <w:jc w:val="center"/>
            </w:pPr>
            <w:r/>
            <w:r>
              <w:rPr>
                <w:rFonts w:ascii="Times New Roman" w:hAnsi="Times New Roman" w:eastAsia="微软雅黑"/>
                <w:b/>
                <w:i w:val="0"/>
                <w:color w:val="FFFFFF"/>
                <w:sz w:val="19"/>
              </w:rPr>
              <w:t>在你的论文中怎么写</w:t>
            </w:r>
          </w:p>
        </w:tc>
        <w:tc>
          <w:tcPr>
            <w:tcW w:type="dxa" w:w="2379"/>
            <w:shd w:val="clear" w:color="auto" w:fill="10305A"/>
          </w:tcPr>
          <w:p>
            <w:pPr>
              <w:jc w:val="center"/>
            </w:pPr>
            <w:r/>
            <w:r>
              <w:rPr>
                <w:rFonts w:ascii="Times New Roman" w:hAnsi="Times New Roman" w:eastAsia="微软雅黑"/>
                <w:b/>
                <w:i w:val="0"/>
                <w:color w:val="FFFFFF"/>
                <w:sz w:val="19"/>
              </w:rPr>
              <w:t>能不能直接称为导致 AD</w:t>
            </w:r>
          </w:p>
        </w:tc>
      </w:tr>
      <w:tr>
        <w:tc>
          <w:tcPr>
            <w:tcW w:type="dxa" w:w="2379"/>
          </w:tcPr>
          <w:p>
            <w:pPr>
              <w:spacing w:after="40" w:line="276" w:lineRule="auto"/>
            </w:pPr>
            <w:r/>
            <w:r>
              <w:rPr>
                <w:rFonts w:ascii="Times New Roman" w:hAnsi="Times New Roman" w:eastAsia="宋体"/>
                <w:b w:val="0"/>
                <w:i w:val="0"/>
                <w:color w:val="1F2937"/>
                <w:sz w:val="19"/>
              </w:rPr>
              <w:t>预测 AMP</w:t>
            </w:r>
          </w:p>
        </w:tc>
        <w:tc>
          <w:tcPr>
            <w:tcW w:type="dxa" w:w="2379"/>
          </w:tcPr>
          <w:p>
            <w:pPr>
              <w:spacing w:after="40" w:line="276" w:lineRule="auto"/>
            </w:pPr>
            <w:r/>
            <w:r>
              <w:rPr>
                <w:rFonts w:ascii="Times New Roman" w:hAnsi="Times New Roman" w:eastAsia="宋体"/>
                <w:b w:val="0"/>
                <w:i w:val="0"/>
                <w:color w:val="1F2937"/>
                <w:sz w:val="19"/>
              </w:rPr>
              <w:t>序列是否具有 AMP 特征</w:t>
            </w:r>
          </w:p>
        </w:tc>
        <w:tc>
          <w:tcPr>
            <w:tcW w:type="dxa" w:w="2379"/>
          </w:tcPr>
          <w:p>
            <w:pPr>
              <w:spacing w:after="40" w:line="276" w:lineRule="auto"/>
            </w:pPr>
            <w:r/>
            <w:r>
              <w:rPr>
                <w:rFonts w:ascii="Times New Roman" w:hAnsi="Times New Roman" w:eastAsia="宋体"/>
                <w:b w:val="0"/>
                <w:i w:val="0"/>
                <w:color w:val="1F2937"/>
                <w:sz w:val="19"/>
              </w:rPr>
              <w:t>深度学习模型输出的候选集合；仍可能是假阳性</w:t>
            </w:r>
          </w:p>
        </w:tc>
        <w:tc>
          <w:tcPr>
            <w:tcW w:type="dxa" w:w="2379"/>
          </w:tcPr>
          <w:p>
            <w:pPr>
              <w:spacing w:after="40" w:line="276" w:lineRule="auto"/>
            </w:pPr>
            <w:r/>
            <w:r>
              <w:rPr>
                <w:rFonts w:ascii="Times New Roman" w:hAnsi="Times New Roman" w:eastAsia="宋体"/>
                <w:b w:val="0"/>
                <w:i w:val="0"/>
                <w:color w:val="1F2937"/>
                <w:sz w:val="19"/>
              </w:rPr>
              <w:t>不能</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AD 差异 AMP</w:t>
            </w:r>
          </w:p>
        </w:tc>
        <w:tc>
          <w:tcPr>
            <w:tcW w:type="dxa" w:w="2379"/>
            <w:shd w:val="clear" w:color="auto" w:fill="F2F5F9"/>
          </w:tcPr>
          <w:p>
            <w:pPr>
              <w:spacing w:after="40" w:line="276" w:lineRule="auto"/>
            </w:pPr>
            <w:r/>
            <w:r>
              <w:rPr>
                <w:rFonts w:ascii="Times New Roman" w:hAnsi="Times New Roman" w:eastAsia="宋体"/>
                <w:b w:val="0"/>
                <w:i w:val="0"/>
                <w:color w:val="1F2937"/>
                <w:sz w:val="19"/>
              </w:rPr>
              <w:t>AD 与健康组的丰度或检出率是否不同</w:t>
            </w:r>
          </w:p>
        </w:tc>
        <w:tc>
          <w:tcPr>
            <w:tcW w:type="dxa" w:w="2379"/>
            <w:shd w:val="clear" w:color="auto" w:fill="F2F5F9"/>
          </w:tcPr>
          <w:p>
            <w:pPr>
              <w:spacing w:after="40" w:line="276" w:lineRule="auto"/>
            </w:pPr>
            <w:r/>
            <w:r>
              <w:rPr>
                <w:rFonts w:ascii="Times New Roman" w:hAnsi="Times New Roman" w:eastAsia="宋体"/>
                <w:b w:val="0"/>
                <w:i w:val="0"/>
                <w:color w:val="1F2937"/>
                <w:sz w:val="19"/>
              </w:rPr>
              <w:t>论文的主要发现对象；需校正年龄、性别、药物、批次等</w:t>
            </w:r>
          </w:p>
        </w:tc>
        <w:tc>
          <w:tcPr>
            <w:tcW w:type="dxa" w:w="2379"/>
            <w:shd w:val="clear" w:color="auto" w:fill="F2F5F9"/>
          </w:tcPr>
          <w:p>
            <w:pPr>
              <w:spacing w:after="40" w:line="276" w:lineRule="auto"/>
            </w:pPr>
            <w:r/>
            <w:r>
              <w:rPr>
                <w:rFonts w:ascii="Times New Roman" w:hAnsi="Times New Roman" w:eastAsia="宋体"/>
                <w:b w:val="0"/>
                <w:i w:val="0"/>
                <w:color w:val="1F2937"/>
                <w:sz w:val="19"/>
              </w:rPr>
              <w:t>不能，只能称 AD 相关</w:t>
            </w:r>
          </w:p>
        </w:tc>
      </w:tr>
      <w:tr>
        <w:tc>
          <w:tcPr>
            <w:tcW w:type="dxa" w:w="2379"/>
          </w:tcPr>
          <w:p>
            <w:pPr>
              <w:spacing w:after="40" w:line="276" w:lineRule="auto"/>
            </w:pPr>
            <w:r/>
            <w:r>
              <w:rPr>
                <w:rFonts w:ascii="Times New Roman" w:hAnsi="Times New Roman" w:eastAsia="宋体"/>
                <w:b w:val="0"/>
                <w:i w:val="0"/>
                <w:color w:val="1F2937"/>
                <w:sz w:val="19"/>
              </w:rPr>
              <w:t>病理机制候选</w:t>
            </w:r>
          </w:p>
        </w:tc>
        <w:tc>
          <w:tcPr>
            <w:tcW w:type="dxa" w:w="2379"/>
          </w:tcPr>
          <w:p>
            <w:pPr>
              <w:spacing w:after="40" w:line="276" w:lineRule="auto"/>
            </w:pPr>
            <w:r/>
            <w:r>
              <w:rPr>
                <w:rFonts w:ascii="Times New Roman" w:hAnsi="Times New Roman" w:eastAsia="宋体"/>
                <w:b w:val="0"/>
                <w:i w:val="0"/>
                <w:color w:val="1F2937"/>
                <w:sz w:val="19"/>
              </w:rPr>
              <w:t>差异肽是否有证据连接到菌群、炎症、屏障、Aβ 或 Tau</w:t>
            </w:r>
          </w:p>
        </w:tc>
        <w:tc>
          <w:tcPr>
            <w:tcW w:type="dxa" w:w="2379"/>
          </w:tcPr>
          <w:p>
            <w:pPr>
              <w:spacing w:after="40" w:line="276" w:lineRule="auto"/>
            </w:pPr>
            <w:r/>
            <w:r>
              <w:rPr>
                <w:rFonts w:ascii="Times New Roman" w:hAnsi="Times New Roman" w:eastAsia="宋体"/>
                <w:b w:val="0"/>
                <w:i w:val="0"/>
                <w:color w:val="1F2937"/>
                <w:sz w:val="19"/>
              </w:rPr>
              <w:t>差异证据加功能和机制证据的优先级排序</w:t>
            </w:r>
          </w:p>
        </w:tc>
        <w:tc>
          <w:tcPr>
            <w:tcW w:type="dxa" w:w="2379"/>
          </w:tcPr>
          <w:p>
            <w:pPr>
              <w:spacing w:after="40" w:line="276" w:lineRule="auto"/>
            </w:pPr>
            <w:r/>
            <w:r>
              <w:rPr>
                <w:rFonts w:ascii="Times New Roman" w:hAnsi="Times New Roman" w:eastAsia="宋体"/>
                <w:b w:val="0"/>
                <w:i w:val="0"/>
                <w:color w:val="1F2937"/>
                <w:sz w:val="19"/>
              </w:rPr>
              <w:t>仍不能，属于机制支持的候选</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因果肽</w:t>
            </w:r>
          </w:p>
        </w:tc>
        <w:tc>
          <w:tcPr>
            <w:tcW w:type="dxa" w:w="2379"/>
            <w:shd w:val="clear" w:color="auto" w:fill="F2F5F9"/>
          </w:tcPr>
          <w:p>
            <w:pPr>
              <w:spacing w:after="40" w:line="276" w:lineRule="auto"/>
            </w:pPr>
            <w:r/>
            <w:r>
              <w:rPr>
                <w:rFonts w:ascii="Times New Roman" w:hAnsi="Times New Roman" w:eastAsia="宋体"/>
                <w:b w:val="0"/>
                <w:i w:val="0"/>
                <w:color w:val="1F2937"/>
                <w:sz w:val="19"/>
              </w:rPr>
              <w:t>干预该肽是否改变 AD 表型</w:t>
            </w:r>
          </w:p>
        </w:tc>
        <w:tc>
          <w:tcPr>
            <w:tcW w:type="dxa" w:w="2379"/>
            <w:shd w:val="clear" w:color="auto" w:fill="F2F5F9"/>
          </w:tcPr>
          <w:p>
            <w:pPr>
              <w:spacing w:after="40" w:line="276" w:lineRule="auto"/>
            </w:pPr>
            <w:r/>
            <w:r>
              <w:rPr>
                <w:rFonts w:ascii="Times New Roman" w:hAnsi="Times New Roman" w:eastAsia="宋体"/>
                <w:b w:val="0"/>
                <w:i w:val="0"/>
                <w:color w:val="1F2937"/>
                <w:sz w:val="19"/>
              </w:rPr>
              <w:t>需要纵向、细胞、动物或干预实验支持</w:t>
            </w:r>
          </w:p>
        </w:tc>
        <w:tc>
          <w:tcPr>
            <w:tcW w:type="dxa" w:w="2379"/>
            <w:shd w:val="clear" w:color="auto" w:fill="F2F5F9"/>
          </w:tcPr>
          <w:p>
            <w:pPr>
              <w:spacing w:after="40" w:line="276" w:lineRule="auto"/>
            </w:pPr>
            <w:r/>
            <w:r>
              <w:rPr>
                <w:rFonts w:ascii="Times New Roman" w:hAnsi="Times New Roman" w:eastAsia="宋体"/>
                <w:b w:val="0"/>
                <w:i w:val="0"/>
                <w:color w:val="1F2937"/>
                <w:sz w:val="19"/>
              </w:rPr>
              <w:t>只有达到干预证据才可谨慎讨论因果</w:t>
            </w:r>
          </w:p>
        </w:tc>
      </w:tr>
      <w:tr>
        <w:tc>
          <w:tcPr>
            <w:tcW w:type="dxa" w:w="2379"/>
          </w:tcPr>
          <w:p>
            <w:pPr>
              <w:spacing w:after="40" w:line="276" w:lineRule="auto"/>
            </w:pPr>
            <w:r/>
            <w:r>
              <w:rPr>
                <w:rFonts w:ascii="Times New Roman" w:hAnsi="Times New Roman" w:eastAsia="宋体"/>
                <w:b w:val="0"/>
                <w:i w:val="0"/>
                <w:color w:val="1F2937"/>
                <w:sz w:val="19"/>
              </w:rPr>
              <w:t>抑制剂肽</w:t>
            </w:r>
          </w:p>
        </w:tc>
        <w:tc>
          <w:tcPr>
            <w:tcW w:type="dxa" w:w="2379"/>
          </w:tcPr>
          <w:p>
            <w:pPr>
              <w:spacing w:after="40" w:line="276" w:lineRule="auto"/>
            </w:pPr>
            <w:r/>
            <w:r>
              <w:rPr>
                <w:rFonts w:ascii="Times New Roman" w:hAnsi="Times New Roman" w:eastAsia="宋体"/>
                <w:b w:val="0"/>
                <w:i w:val="0"/>
                <w:color w:val="1F2937"/>
                <w:sz w:val="19"/>
              </w:rPr>
              <w:t>是否能抑制 Aβ 聚集或炎症靶点</w:t>
            </w:r>
          </w:p>
        </w:tc>
        <w:tc>
          <w:tcPr>
            <w:tcW w:type="dxa" w:w="2379"/>
          </w:tcPr>
          <w:p>
            <w:pPr>
              <w:spacing w:after="40" w:line="276" w:lineRule="auto"/>
            </w:pPr>
            <w:r/>
            <w:r>
              <w:rPr>
                <w:rFonts w:ascii="Times New Roman" w:hAnsi="Times New Roman" w:eastAsia="宋体"/>
                <w:b w:val="0"/>
                <w:i w:val="0"/>
                <w:color w:val="1F2937"/>
                <w:sz w:val="19"/>
              </w:rPr>
              <w:t>治疗/保护性功能标签，不是本论文的首要筛选条件</w:t>
            </w:r>
          </w:p>
        </w:tc>
        <w:tc>
          <w:tcPr>
            <w:tcW w:type="dxa" w:w="2379"/>
          </w:tcPr>
          <w:p>
            <w:pPr>
              <w:spacing w:after="40" w:line="276" w:lineRule="auto"/>
            </w:pPr>
            <w:r/>
            <w:r>
              <w:rPr>
                <w:rFonts w:ascii="Times New Roman" w:hAnsi="Times New Roman" w:eastAsia="宋体"/>
                <w:b w:val="0"/>
                <w:i w:val="0"/>
                <w:color w:val="1F2937"/>
                <w:sz w:val="19"/>
              </w:rPr>
              <w:t>通常不是导致 AD，可能是保护方向</w:t>
            </w:r>
          </w:p>
        </w:tc>
      </w:tr>
    </w:tbl>
    <w:p>
      <w:pPr>
        <w:spacing w:after="40"/>
      </w:pPr>
    </w:p>
    <w:p>
      <w:pPr>
        <w:spacing w:before="320" w:after="160" w:line="288" w:lineRule="auto"/>
      </w:pPr>
      <w:r>
        <w:rPr>
          <w:rFonts w:ascii="Times New Roman" w:hAnsi="Times New Roman" w:eastAsia="微软雅黑"/>
          <w:b/>
          <w:i w:val="0"/>
          <w:color w:val="10305A"/>
          <w:sz w:val="34"/>
        </w:rPr>
        <w:t>一、你的论文与 AD 病理机制到底是什么关系</w:t>
      </w:r>
    </w:p>
    <w:p>
      <w:pPr>
        <w:spacing w:before="240" w:after="100" w:line="288" w:lineRule="auto"/>
      </w:pPr>
      <w:r>
        <w:rPr>
          <w:rFonts w:ascii="Times New Roman" w:hAnsi="Times New Roman" w:eastAsia="微软雅黑"/>
          <w:b/>
          <w:i w:val="0"/>
          <w:color w:val="10305A"/>
          <w:sz w:val="27"/>
        </w:rPr>
        <w:t>1.1 论文主问题与机制问题的关系</w:t>
      </w:r>
    </w:p>
    <w:p>
      <w:pPr>
        <w:spacing w:before="0" w:after="120" w:line="336" w:lineRule="auto"/>
        <w:ind w:firstLine="440"/>
      </w:pPr>
      <w:r>
        <w:rPr>
          <w:rFonts w:ascii="Times New Roman" w:hAnsi="Times New Roman" w:eastAsia="宋体"/>
          <w:b w:val="0"/>
          <w:i w:val="0"/>
          <w:color w:val="1F2937"/>
          <w:sz w:val="22"/>
        </w:rPr>
        <w:t>论文主问题是一个“发现型问题”：AD 组和健康组肠道微生物组中，哪些微生物编码的抗菌肽不同？机制问题是第二层：这些差异肽可能通过什么路径参与 AD？因此机制不是替代差异分析，而是对差异分析结果的后续解释。流程应写成“差异发现 → 候选分层 → 机制关联 → 可验证预测”，而不是先拿已知 Aβ 抑制肽去找差异。[5，6，1]</w:t>
      </w:r>
    </w:p>
    <w:p>
      <w:pPr>
        <w:spacing w:before="0" w:after="120" w:line="336" w:lineRule="auto"/>
        <w:ind w:firstLine="440"/>
      </w:pPr>
      <w:r>
        <w:rPr>
          <w:rFonts w:ascii="Times New Roman" w:hAnsi="Times New Roman" w:eastAsia="宋体"/>
          <w:b w:val="0"/>
          <w:i w:val="0"/>
          <w:color w:val="1F2937"/>
          <w:sz w:val="22"/>
        </w:rPr>
        <w:t>特别要区分“微生物源 AMP”和“宿主 AMP”。你的深度学习输入来自肠道微生物组，首先得到的是细菌或其他微生物编码的短肽；LL-37、HNP-1、HD-6 是人或宿主来源的 AMP，不能因为都叫 AMP 就当成同一类。宿主 AMP 文献可以作为病理机制模板，但不能直接证明你的微生物源候选肽也会在脑内发挥相同作用。[7，8，9]</w:t>
      </w:r>
    </w:p>
    <w:p>
      <w:pPr>
        <w:spacing w:before="0" w:after="120" w:line="336" w:lineRule="auto"/>
        <w:ind w:firstLine="440"/>
      </w:pPr>
      <w:r>
        <w:rPr>
          <w:rFonts w:ascii="Times New Roman" w:hAnsi="Times New Roman" w:eastAsia="宋体"/>
          <w:b w:val="0"/>
          <w:i w:val="0"/>
          <w:color w:val="1F2937"/>
          <w:sz w:val="22"/>
        </w:rPr>
        <w:t>Aβ 更不能作为你筛选出的微生物 AMP。Aβ 是宿主 APP 加工产生的淀粉样肽，同时具有先天免疫/抗菌性质；它是 AD 病理终点和比较对象。你要研究的是“微生物源 AMP 是否通过肠道和免疫环境影响 Aβ/Tau/炎症”，而不是把 Aβ 当作预测出的肠道 AMP。[10，11，12]</w:t>
      </w:r>
    </w:p>
    <w:p>
      <w:pPr>
        <w:spacing w:before="160" w:after="80" w:line="324" w:lineRule="auto"/>
      </w:pPr>
      <w:r>
        <w:rPr>
          <w:rFonts w:ascii="Times New Roman" w:hAnsi="Times New Roman" w:eastAsia="微软雅黑"/>
          <w:b/>
          <w:i w:val="0"/>
          <w:color w:val="10305A"/>
          <w:sz w:val="21"/>
        </w:rPr>
        <w:t>表 2　主线中每一层的输入、输出和结论边界</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层级</w:t>
            </w:r>
          </w:p>
        </w:tc>
        <w:tc>
          <w:tcPr>
            <w:tcW w:type="dxa" w:w="2379"/>
            <w:shd w:val="clear" w:color="auto" w:fill="10305A"/>
          </w:tcPr>
          <w:p>
            <w:pPr>
              <w:jc w:val="center"/>
            </w:pPr>
            <w:r/>
            <w:r>
              <w:rPr>
                <w:rFonts w:ascii="Times New Roman" w:hAnsi="Times New Roman" w:eastAsia="微软雅黑"/>
                <w:b/>
                <w:i w:val="0"/>
                <w:color w:val="FFFFFF"/>
                <w:sz w:val="19"/>
              </w:rPr>
              <w:t>输入</w:t>
            </w:r>
          </w:p>
        </w:tc>
        <w:tc>
          <w:tcPr>
            <w:tcW w:type="dxa" w:w="2379"/>
            <w:shd w:val="clear" w:color="auto" w:fill="10305A"/>
          </w:tcPr>
          <w:p>
            <w:pPr>
              <w:jc w:val="center"/>
            </w:pPr>
            <w:r/>
            <w:r>
              <w:rPr>
                <w:rFonts w:ascii="Times New Roman" w:hAnsi="Times New Roman" w:eastAsia="微软雅黑"/>
                <w:b/>
                <w:i w:val="0"/>
                <w:color w:val="FFFFFF"/>
                <w:sz w:val="19"/>
              </w:rPr>
              <w:t>输出</w:t>
            </w:r>
          </w:p>
        </w:tc>
        <w:tc>
          <w:tcPr>
            <w:tcW w:type="dxa" w:w="2379"/>
            <w:shd w:val="clear" w:color="auto" w:fill="10305A"/>
          </w:tcPr>
          <w:p>
            <w:pPr>
              <w:jc w:val="center"/>
            </w:pPr>
            <w:r/>
            <w:r>
              <w:rPr>
                <w:rFonts w:ascii="Times New Roman" w:hAnsi="Times New Roman" w:eastAsia="微软雅黑"/>
                <w:b/>
                <w:i w:val="0"/>
                <w:color w:val="FFFFFF"/>
                <w:sz w:val="19"/>
              </w:rPr>
              <w:t>正确结论</w:t>
            </w:r>
          </w:p>
        </w:tc>
      </w:tr>
      <w:tr>
        <w:tc>
          <w:tcPr>
            <w:tcW w:type="dxa" w:w="2379"/>
          </w:tcPr>
          <w:p>
            <w:pPr>
              <w:spacing w:after="40" w:line="276" w:lineRule="auto"/>
            </w:pPr>
            <w:r/>
            <w:r>
              <w:rPr>
                <w:rFonts w:ascii="Times New Roman" w:hAnsi="Times New Roman" w:eastAsia="宋体"/>
                <w:b w:val="0"/>
                <w:i w:val="0"/>
                <w:color w:val="1F2937"/>
                <w:sz w:val="19"/>
              </w:rPr>
              <w:t>样本层</w:t>
            </w:r>
          </w:p>
        </w:tc>
        <w:tc>
          <w:tcPr>
            <w:tcW w:type="dxa" w:w="2379"/>
          </w:tcPr>
          <w:p>
            <w:pPr>
              <w:spacing w:after="40" w:line="276" w:lineRule="auto"/>
            </w:pPr>
            <w:r/>
            <w:r>
              <w:rPr>
                <w:rFonts w:ascii="Times New Roman" w:hAnsi="Times New Roman" w:eastAsia="宋体"/>
                <w:b w:val="0"/>
                <w:i w:val="0"/>
                <w:color w:val="1F2937"/>
                <w:sz w:val="19"/>
              </w:rPr>
              <w:t>健康、MCI、AD 或 AD 分期的宏基因组与协变量</w:t>
            </w:r>
          </w:p>
        </w:tc>
        <w:tc>
          <w:tcPr>
            <w:tcW w:type="dxa" w:w="2379"/>
          </w:tcPr>
          <w:p>
            <w:pPr>
              <w:spacing w:after="40" w:line="276" w:lineRule="auto"/>
            </w:pPr>
            <w:r/>
            <w:r>
              <w:rPr>
                <w:rFonts w:ascii="Times New Roman" w:hAnsi="Times New Roman" w:eastAsia="宋体"/>
                <w:b w:val="0"/>
                <w:i w:val="0"/>
                <w:color w:val="1F2937"/>
                <w:sz w:val="19"/>
              </w:rPr>
              <w:t>每个样本的短肽和微生物丰度矩阵</w:t>
            </w:r>
          </w:p>
        </w:tc>
        <w:tc>
          <w:tcPr>
            <w:tcW w:type="dxa" w:w="2379"/>
          </w:tcPr>
          <w:p>
            <w:pPr>
              <w:spacing w:after="40" w:line="276" w:lineRule="auto"/>
            </w:pPr>
            <w:r/>
            <w:r>
              <w:rPr>
                <w:rFonts w:ascii="Times New Roman" w:hAnsi="Times New Roman" w:eastAsia="宋体"/>
                <w:b w:val="0"/>
                <w:i w:val="0"/>
                <w:color w:val="1F2937"/>
                <w:sz w:val="19"/>
              </w:rPr>
              <w:t>建立可比较的数据基础</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预测层</w:t>
            </w:r>
          </w:p>
        </w:tc>
        <w:tc>
          <w:tcPr>
            <w:tcW w:type="dxa" w:w="2379"/>
            <w:shd w:val="clear" w:color="auto" w:fill="F2F5F9"/>
          </w:tcPr>
          <w:p>
            <w:pPr>
              <w:spacing w:after="40" w:line="276" w:lineRule="auto"/>
            </w:pPr>
            <w:r/>
            <w:r>
              <w:rPr>
                <w:rFonts w:ascii="Times New Roman" w:hAnsi="Times New Roman" w:eastAsia="宋体"/>
                <w:b w:val="0"/>
                <w:i w:val="0"/>
                <w:color w:val="1F2937"/>
                <w:sz w:val="19"/>
              </w:rPr>
              <w:t>ORF 翻译出的 12-50 aa 短肽</w:t>
            </w:r>
          </w:p>
        </w:tc>
        <w:tc>
          <w:tcPr>
            <w:tcW w:type="dxa" w:w="2379"/>
            <w:shd w:val="clear" w:color="auto" w:fill="F2F5F9"/>
          </w:tcPr>
          <w:p>
            <w:pPr>
              <w:spacing w:after="40" w:line="276" w:lineRule="auto"/>
            </w:pPr>
            <w:r/>
            <w:r>
              <w:rPr>
                <w:rFonts w:ascii="Times New Roman" w:hAnsi="Times New Roman" w:eastAsia="宋体"/>
                <w:b w:val="0"/>
                <w:i w:val="0"/>
                <w:color w:val="1F2937"/>
                <w:sz w:val="19"/>
              </w:rPr>
              <w:t>AMP 预测概率、模型一致性、序列簇</w:t>
            </w:r>
          </w:p>
        </w:tc>
        <w:tc>
          <w:tcPr>
            <w:tcW w:type="dxa" w:w="2379"/>
            <w:shd w:val="clear" w:color="auto" w:fill="F2F5F9"/>
          </w:tcPr>
          <w:p>
            <w:pPr>
              <w:spacing w:after="40" w:line="276" w:lineRule="auto"/>
            </w:pPr>
            <w:r/>
            <w:r>
              <w:rPr>
                <w:rFonts w:ascii="Times New Roman" w:hAnsi="Times New Roman" w:eastAsia="宋体"/>
                <w:b w:val="0"/>
                <w:i w:val="0"/>
                <w:color w:val="1F2937"/>
                <w:sz w:val="19"/>
              </w:rPr>
              <w:t>这些序列具有 AMP 候选特征</w:t>
            </w:r>
          </w:p>
        </w:tc>
      </w:tr>
      <w:tr>
        <w:tc>
          <w:tcPr>
            <w:tcW w:type="dxa" w:w="2379"/>
          </w:tcPr>
          <w:p>
            <w:pPr>
              <w:spacing w:after="40" w:line="276" w:lineRule="auto"/>
            </w:pPr>
            <w:r/>
            <w:r>
              <w:rPr>
                <w:rFonts w:ascii="Times New Roman" w:hAnsi="Times New Roman" w:eastAsia="宋体"/>
                <w:b w:val="0"/>
                <w:i w:val="0"/>
                <w:color w:val="1F2937"/>
                <w:sz w:val="19"/>
              </w:rPr>
              <w:t>差异层</w:t>
            </w:r>
          </w:p>
        </w:tc>
        <w:tc>
          <w:tcPr>
            <w:tcW w:type="dxa" w:w="2379"/>
          </w:tcPr>
          <w:p>
            <w:pPr>
              <w:spacing w:after="40" w:line="276" w:lineRule="auto"/>
            </w:pPr>
            <w:r/>
            <w:r>
              <w:rPr>
                <w:rFonts w:ascii="Times New Roman" w:hAnsi="Times New Roman" w:eastAsia="宋体"/>
                <w:b w:val="0"/>
                <w:i w:val="0"/>
                <w:color w:val="1F2937"/>
                <w:sz w:val="19"/>
              </w:rPr>
              <w:t>AMP 丰度/检出率加协变量</w:t>
            </w:r>
          </w:p>
        </w:tc>
        <w:tc>
          <w:tcPr>
            <w:tcW w:type="dxa" w:w="2379"/>
          </w:tcPr>
          <w:p>
            <w:pPr>
              <w:spacing w:after="40" w:line="276" w:lineRule="auto"/>
            </w:pPr>
            <w:r/>
            <w:r>
              <w:rPr>
                <w:rFonts w:ascii="Times New Roman" w:hAnsi="Times New Roman" w:eastAsia="宋体"/>
                <w:b w:val="0"/>
                <w:i w:val="0"/>
                <w:color w:val="1F2937"/>
                <w:sz w:val="19"/>
              </w:rPr>
              <w:t>AD 富集、健康富集、随病程变化的肽</w:t>
            </w:r>
          </w:p>
        </w:tc>
        <w:tc>
          <w:tcPr>
            <w:tcW w:type="dxa" w:w="2379"/>
          </w:tcPr>
          <w:p>
            <w:pPr>
              <w:spacing w:after="40" w:line="276" w:lineRule="auto"/>
            </w:pPr>
            <w:r/>
            <w:r>
              <w:rPr>
                <w:rFonts w:ascii="Times New Roman" w:hAnsi="Times New Roman" w:eastAsia="宋体"/>
                <w:b w:val="0"/>
                <w:i w:val="0"/>
                <w:color w:val="1F2937"/>
                <w:sz w:val="19"/>
              </w:rPr>
              <w:t>候选肽与 AD 状态相关</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机制层</w:t>
            </w:r>
          </w:p>
        </w:tc>
        <w:tc>
          <w:tcPr>
            <w:tcW w:type="dxa" w:w="2379"/>
            <w:shd w:val="clear" w:color="auto" w:fill="F2F5F9"/>
          </w:tcPr>
          <w:p>
            <w:pPr>
              <w:spacing w:after="40" w:line="276" w:lineRule="auto"/>
            </w:pPr>
            <w:r/>
            <w:r>
              <w:rPr>
                <w:rFonts w:ascii="Times New Roman" w:hAnsi="Times New Roman" w:eastAsia="宋体"/>
                <w:b w:val="0"/>
                <w:i w:val="0"/>
                <w:color w:val="1F2937"/>
                <w:sz w:val="19"/>
              </w:rPr>
              <w:t>候选肽、来源菌、通路和结构信息</w:t>
            </w:r>
          </w:p>
        </w:tc>
        <w:tc>
          <w:tcPr>
            <w:tcW w:type="dxa" w:w="2379"/>
            <w:shd w:val="clear" w:color="auto" w:fill="F2F5F9"/>
          </w:tcPr>
          <w:p>
            <w:pPr>
              <w:spacing w:after="40" w:line="276" w:lineRule="auto"/>
            </w:pPr>
            <w:r/>
            <w:r>
              <w:rPr>
                <w:rFonts w:ascii="Times New Roman" w:hAnsi="Times New Roman" w:eastAsia="宋体"/>
                <w:b w:val="0"/>
                <w:i w:val="0"/>
                <w:color w:val="1F2937"/>
                <w:sz w:val="19"/>
              </w:rPr>
              <w:t>菌群-屏障-炎症-Aβ/Tau 的关联网络</w:t>
            </w:r>
          </w:p>
        </w:tc>
        <w:tc>
          <w:tcPr>
            <w:tcW w:type="dxa" w:w="2379"/>
            <w:shd w:val="clear" w:color="auto" w:fill="F2F5F9"/>
          </w:tcPr>
          <w:p>
            <w:pPr>
              <w:spacing w:after="40" w:line="276" w:lineRule="auto"/>
            </w:pPr>
            <w:r/>
            <w:r>
              <w:rPr>
                <w:rFonts w:ascii="Times New Roman" w:hAnsi="Times New Roman" w:eastAsia="宋体"/>
                <w:b w:val="0"/>
                <w:i w:val="0"/>
                <w:color w:val="1F2937"/>
                <w:sz w:val="19"/>
              </w:rPr>
              <w:t>提出可检验机制假设</w:t>
            </w:r>
          </w:p>
        </w:tc>
      </w:tr>
      <w:tr>
        <w:tc>
          <w:tcPr>
            <w:tcW w:type="dxa" w:w="2379"/>
          </w:tcPr>
          <w:p>
            <w:pPr>
              <w:spacing w:after="40" w:line="276" w:lineRule="auto"/>
            </w:pPr>
            <w:r/>
            <w:r>
              <w:rPr>
                <w:rFonts w:ascii="Times New Roman" w:hAnsi="Times New Roman" w:eastAsia="宋体"/>
                <w:b w:val="0"/>
                <w:i w:val="0"/>
                <w:color w:val="1F2937"/>
                <w:sz w:val="19"/>
              </w:rPr>
              <w:t>验证层</w:t>
            </w:r>
          </w:p>
        </w:tc>
        <w:tc>
          <w:tcPr>
            <w:tcW w:type="dxa" w:w="2379"/>
          </w:tcPr>
          <w:p>
            <w:pPr>
              <w:spacing w:after="40" w:line="276" w:lineRule="auto"/>
            </w:pPr>
            <w:r/>
            <w:r>
              <w:rPr>
                <w:rFonts w:ascii="Times New Roman" w:hAnsi="Times New Roman" w:eastAsia="宋体"/>
                <w:b w:val="0"/>
                <w:i w:val="0"/>
                <w:color w:val="1F2937"/>
                <w:sz w:val="19"/>
              </w:rPr>
              <w:t>表达、蛋白、肽浓度、细胞/动物干预</w:t>
            </w:r>
          </w:p>
        </w:tc>
        <w:tc>
          <w:tcPr>
            <w:tcW w:type="dxa" w:w="2379"/>
          </w:tcPr>
          <w:p>
            <w:pPr>
              <w:spacing w:after="40" w:line="276" w:lineRule="auto"/>
            </w:pPr>
            <w:r/>
            <w:r>
              <w:rPr>
                <w:rFonts w:ascii="Times New Roman" w:hAnsi="Times New Roman" w:eastAsia="宋体"/>
                <w:b w:val="0"/>
                <w:i w:val="0"/>
                <w:color w:val="1F2937"/>
                <w:sz w:val="19"/>
              </w:rPr>
              <w:t>机制方向和因果强度</w:t>
            </w:r>
          </w:p>
        </w:tc>
        <w:tc>
          <w:tcPr>
            <w:tcW w:type="dxa" w:w="2379"/>
          </w:tcPr>
          <w:p>
            <w:pPr>
              <w:spacing w:after="40" w:line="276" w:lineRule="auto"/>
            </w:pPr>
            <w:r/>
            <w:r>
              <w:rPr>
                <w:rFonts w:ascii="Times New Roman" w:hAnsi="Times New Roman" w:eastAsia="宋体"/>
                <w:b w:val="0"/>
                <w:i w:val="0"/>
                <w:color w:val="1F2937"/>
                <w:sz w:val="19"/>
              </w:rPr>
              <w:t>才有资格讨论因果或治疗</w:t>
            </w:r>
          </w:p>
        </w:tc>
      </w:tr>
    </w:tbl>
    <w:p>
      <w:pPr>
        <w:spacing w:after="40"/>
      </w:pPr>
    </w:p>
    <w:p>
      <w:pPr>
        <w:spacing w:before="240" w:after="100" w:line="288" w:lineRule="auto"/>
      </w:pPr>
      <w:r>
        <w:rPr>
          <w:rFonts w:ascii="Times New Roman" w:hAnsi="Times New Roman" w:eastAsia="微软雅黑"/>
          <w:b/>
          <w:i w:val="0"/>
          <w:color w:val="10305A"/>
          <w:sz w:val="27"/>
        </w:rPr>
        <w:t>1.2 给老师解释的一句话</w:t>
      </w:r>
    </w:p>
    <w:p>
      <w:pPr>
        <w:spacing w:before="120" w:after="120" w:line="324" w:lineRule="auto"/>
        <w:jc w:val="center"/>
      </w:pPr>
      <w:r>
        <w:rPr>
          <w:rFonts w:ascii="Times New Roman" w:hAnsi="Times New Roman" w:eastAsia="Cambria"/>
          <w:b w:val="0"/>
          <w:i/>
          <w:color w:val="10305A"/>
          <w:sz w:val="22"/>
        </w:rPr>
        <w:t>本研究不是从一开始寻找 Aβ 抑制剂，而是先从 AD 与健康人群肠道微生物组中筛选差异抗菌肽，再把差异肽分为可能促进病理的风险样候选和可能保护的抑制/保护样候选，最后用组学、网络和分子模拟判断它们与 AD 病理的关联强弱。</w:t>
      </w:r>
    </w:p>
    <w:p>
      <w:pPr>
        <w:spacing w:before="0" w:after="120" w:line="336" w:lineRule="auto"/>
        <w:ind w:firstLine="440"/>
      </w:pPr>
      <w:r>
        <w:rPr>
          <w:rFonts w:ascii="Times New Roman" w:hAnsi="Times New Roman" w:eastAsia="宋体"/>
          <w:b w:val="0"/>
          <w:i w:val="0"/>
          <w:color w:val="1F2937"/>
          <w:sz w:val="22"/>
        </w:rPr>
        <w:t>如果老师问“你找的是病理相关肽还是抑制剂相关肽”，最稳妥的回答是：主要找的是“AD 相关差异抗菌肽”，也就是病理关联候选；抑制 Aβ 或炎症的肽只是其中一个保护性功能亚类。不能先把所有肽都叫抑制剂，也不能把 Aβ 结合等同于致病。[9，3]</w:t>
      </w:r>
    </w:p>
    <w:p>
      <w:pPr>
        <w:spacing w:before="320" w:after="160" w:line="288" w:lineRule="auto"/>
      </w:pPr>
      <w:r>
        <w:rPr>
          <w:rFonts w:ascii="Times New Roman" w:hAnsi="Times New Roman" w:eastAsia="微软雅黑"/>
          <w:b/>
          <w:i w:val="0"/>
          <w:color w:val="10305A"/>
          <w:sz w:val="34"/>
        </w:rPr>
        <w:t>二、从“差异肽”到“AD 病理候选肽”的分层框架</w:t>
      </w:r>
    </w:p>
    <w:p>
      <w:pPr>
        <w:spacing w:before="240" w:after="100" w:line="288" w:lineRule="auto"/>
      </w:pPr>
      <w:r>
        <w:rPr>
          <w:rFonts w:ascii="Times New Roman" w:hAnsi="Times New Roman" w:eastAsia="微软雅黑"/>
          <w:b/>
          <w:i w:val="0"/>
          <w:color w:val="10305A"/>
          <w:sz w:val="27"/>
        </w:rPr>
        <w:t>2.1 四类候选肽</w:t>
      </w:r>
    </w:p>
    <w:p>
      <w:pPr>
        <w:spacing w:before="160" w:after="80" w:line="324" w:lineRule="auto"/>
      </w:pPr>
      <w:r>
        <w:rPr>
          <w:rFonts w:ascii="Times New Roman" w:hAnsi="Times New Roman" w:eastAsia="微软雅黑"/>
          <w:b/>
          <w:i w:val="0"/>
          <w:color w:val="10305A"/>
          <w:sz w:val="21"/>
        </w:rPr>
        <w:t>表 3　筛选后候选肽的四类归档</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类别</w:t>
            </w:r>
          </w:p>
        </w:tc>
        <w:tc>
          <w:tcPr>
            <w:tcW w:type="dxa" w:w="2379"/>
            <w:shd w:val="clear" w:color="auto" w:fill="10305A"/>
          </w:tcPr>
          <w:p>
            <w:pPr>
              <w:jc w:val="center"/>
            </w:pPr>
            <w:r/>
            <w:r>
              <w:rPr>
                <w:rFonts w:ascii="Times New Roman" w:hAnsi="Times New Roman" w:eastAsia="微软雅黑"/>
                <w:b/>
                <w:i w:val="0"/>
                <w:color w:val="FFFFFF"/>
                <w:sz w:val="19"/>
              </w:rPr>
              <w:t>判定逻辑</w:t>
            </w:r>
          </w:p>
        </w:tc>
        <w:tc>
          <w:tcPr>
            <w:tcW w:type="dxa" w:w="2379"/>
            <w:shd w:val="clear" w:color="auto" w:fill="10305A"/>
          </w:tcPr>
          <w:p>
            <w:pPr>
              <w:jc w:val="center"/>
            </w:pPr>
            <w:r/>
            <w:r>
              <w:rPr>
                <w:rFonts w:ascii="Times New Roman" w:hAnsi="Times New Roman" w:eastAsia="微软雅黑"/>
                <w:b/>
                <w:i w:val="0"/>
                <w:color w:val="FFFFFF"/>
                <w:sz w:val="19"/>
              </w:rPr>
              <w:t>可能方向</w:t>
            </w:r>
          </w:p>
        </w:tc>
        <w:tc>
          <w:tcPr>
            <w:tcW w:type="dxa" w:w="2379"/>
            <w:shd w:val="clear" w:color="auto" w:fill="10305A"/>
          </w:tcPr>
          <w:p>
            <w:pPr>
              <w:jc w:val="center"/>
            </w:pPr>
            <w:r/>
            <w:r>
              <w:rPr>
                <w:rFonts w:ascii="Times New Roman" w:hAnsi="Times New Roman" w:eastAsia="微软雅黑"/>
                <w:b/>
                <w:i w:val="0"/>
                <w:color w:val="FFFFFF"/>
                <w:sz w:val="19"/>
              </w:rPr>
              <w:t>论文用语</w:t>
            </w:r>
          </w:p>
        </w:tc>
      </w:tr>
      <w:tr>
        <w:tc>
          <w:tcPr>
            <w:tcW w:type="dxa" w:w="2379"/>
          </w:tcPr>
          <w:p>
            <w:pPr>
              <w:spacing w:after="40" w:line="276" w:lineRule="auto"/>
            </w:pPr>
            <w:r/>
            <w:r>
              <w:rPr>
                <w:rFonts w:ascii="Times New Roman" w:hAnsi="Times New Roman" w:eastAsia="宋体"/>
                <w:b w:val="0"/>
                <w:i w:val="0"/>
                <w:color w:val="1F2937"/>
                <w:sz w:val="19"/>
              </w:rPr>
              <w:t>AD 富集、促炎/屏障损伤样</w:t>
            </w:r>
          </w:p>
        </w:tc>
        <w:tc>
          <w:tcPr>
            <w:tcW w:type="dxa" w:w="2379"/>
          </w:tcPr>
          <w:p>
            <w:pPr>
              <w:spacing w:after="40" w:line="276" w:lineRule="auto"/>
            </w:pPr>
            <w:r/>
            <w:r>
              <w:rPr>
                <w:rFonts w:ascii="Times New Roman" w:hAnsi="Times New Roman" w:eastAsia="宋体"/>
                <w:b w:val="0"/>
                <w:i w:val="0"/>
                <w:color w:val="1F2937"/>
                <w:sz w:val="19"/>
              </w:rPr>
              <w:t>AD 中丰度或检出率增加，且与促炎菌、LPS、炎症或屏障损伤指标同向</w:t>
            </w:r>
          </w:p>
        </w:tc>
        <w:tc>
          <w:tcPr>
            <w:tcW w:type="dxa" w:w="2379"/>
          </w:tcPr>
          <w:p>
            <w:pPr>
              <w:spacing w:after="40" w:line="276" w:lineRule="auto"/>
            </w:pPr>
            <w:r/>
            <w:r>
              <w:rPr>
                <w:rFonts w:ascii="Times New Roman" w:hAnsi="Times New Roman" w:eastAsia="宋体"/>
                <w:b w:val="0"/>
                <w:i w:val="0"/>
                <w:color w:val="1F2937"/>
                <w:sz w:val="19"/>
              </w:rPr>
              <w:t>风险样/可能促进病理</w:t>
            </w:r>
          </w:p>
        </w:tc>
        <w:tc>
          <w:tcPr>
            <w:tcW w:type="dxa" w:w="2379"/>
          </w:tcPr>
          <w:p>
            <w:pPr>
              <w:spacing w:after="40" w:line="276" w:lineRule="auto"/>
            </w:pPr>
            <w:r/>
            <w:r>
              <w:rPr>
                <w:rFonts w:ascii="Times New Roman" w:hAnsi="Times New Roman" w:eastAsia="宋体"/>
                <w:b w:val="0"/>
                <w:i w:val="0"/>
                <w:color w:val="1F2937"/>
                <w:sz w:val="19"/>
              </w:rPr>
              <w:t>AD-associated pro-pathology candidate；不是已证实病因</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AD 富集、直接病理作用待定</w:t>
            </w:r>
          </w:p>
        </w:tc>
        <w:tc>
          <w:tcPr>
            <w:tcW w:type="dxa" w:w="2379"/>
            <w:shd w:val="clear" w:color="auto" w:fill="F2F5F9"/>
          </w:tcPr>
          <w:p>
            <w:pPr>
              <w:spacing w:after="40" w:line="276" w:lineRule="auto"/>
            </w:pPr>
            <w:r/>
            <w:r>
              <w:rPr>
                <w:rFonts w:ascii="Times New Roman" w:hAnsi="Times New Roman" w:eastAsia="宋体"/>
                <w:b w:val="0"/>
                <w:i w:val="0"/>
                <w:color w:val="1F2937"/>
                <w:sz w:val="19"/>
              </w:rPr>
              <w:t>AD 中增加，但只有结构或网络线索，没有方向性功能证据</w:t>
            </w:r>
          </w:p>
        </w:tc>
        <w:tc>
          <w:tcPr>
            <w:tcW w:type="dxa" w:w="2379"/>
            <w:shd w:val="clear" w:color="auto" w:fill="F2F5F9"/>
          </w:tcPr>
          <w:p>
            <w:pPr>
              <w:spacing w:after="40" w:line="276" w:lineRule="auto"/>
            </w:pPr>
            <w:r/>
            <w:r>
              <w:rPr>
                <w:rFonts w:ascii="Times New Roman" w:hAnsi="Times New Roman" w:eastAsia="宋体"/>
                <w:b w:val="0"/>
                <w:i w:val="0"/>
                <w:color w:val="1F2937"/>
                <w:sz w:val="19"/>
              </w:rPr>
              <w:t>未知</w:t>
            </w:r>
          </w:p>
        </w:tc>
        <w:tc>
          <w:tcPr>
            <w:tcW w:type="dxa" w:w="2379"/>
            <w:shd w:val="clear" w:color="auto" w:fill="F2F5F9"/>
          </w:tcPr>
          <w:p>
            <w:pPr>
              <w:spacing w:after="40" w:line="276" w:lineRule="auto"/>
            </w:pPr>
            <w:r/>
            <w:r>
              <w:rPr>
                <w:rFonts w:ascii="Times New Roman" w:hAnsi="Times New Roman" w:eastAsia="宋体"/>
                <w:b w:val="0"/>
                <w:i w:val="0"/>
                <w:color w:val="1F2937"/>
                <w:sz w:val="19"/>
              </w:rPr>
              <w:t>AD-associated candidate，待验证</w:t>
            </w:r>
          </w:p>
        </w:tc>
      </w:tr>
      <w:tr>
        <w:tc>
          <w:tcPr>
            <w:tcW w:type="dxa" w:w="2379"/>
          </w:tcPr>
          <w:p>
            <w:pPr>
              <w:spacing w:after="40" w:line="276" w:lineRule="auto"/>
            </w:pPr>
            <w:r/>
            <w:r>
              <w:rPr>
                <w:rFonts w:ascii="Times New Roman" w:hAnsi="Times New Roman" w:eastAsia="宋体"/>
                <w:b w:val="0"/>
                <w:i w:val="0"/>
                <w:color w:val="1F2937"/>
                <w:sz w:val="19"/>
              </w:rPr>
              <w:t>健康富集、屏障/抗炎/清除样</w:t>
            </w:r>
          </w:p>
        </w:tc>
        <w:tc>
          <w:tcPr>
            <w:tcW w:type="dxa" w:w="2379"/>
          </w:tcPr>
          <w:p>
            <w:pPr>
              <w:spacing w:after="40" w:line="276" w:lineRule="auto"/>
            </w:pPr>
            <w:r/>
            <w:r>
              <w:rPr>
                <w:rFonts w:ascii="Times New Roman" w:hAnsi="Times New Roman" w:eastAsia="宋体"/>
                <w:b w:val="0"/>
                <w:i w:val="0"/>
                <w:color w:val="1F2937"/>
                <w:sz w:val="19"/>
              </w:rPr>
              <w:t>健康组较高，和有益菌、SCFA、屏障或 Aβ 清除方向一致</w:t>
            </w:r>
          </w:p>
        </w:tc>
        <w:tc>
          <w:tcPr>
            <w:tcW w:type="dxa" w:w="2379"/>
          </w:tcPr>
          <w:p>
            <w:pPr>
              <w:spacing w:after="40" w:line="276" w:lineRule="auto"/>
            </w:pPr>
            <w:r/>
            <w:r>
              <w:rPr>
                <w:rFonts w:ascii="Times New Roman" w:hAnsi="Times New Roman" w:eastAsia="宋体"/>
                <w:b w:val="0"/>
                <w:i w:val="0"/>
                <w:color w:val="1F2937"/>
                <w:sz w:val="19"/>
              </w:rPr>
              <w:t>保护样/潜在抑制</w:t>
            </w:r>
          </w:p>
        </w:tc>
        <w:tc>
          <w:tcPr>
            <w:tcW w:type="dxa" w:w="2379"/>
          </w:tcPr>
          <w:p>
            <w:pPr>
              <w:spacing w:after="40" w:line="276" w:lineRule="auto"/>
            </w:pPr>
            <w:r/>
            <w:r>
              <w:rPr>
                <w:rFonts w:ascii="Times New Roman" w:hAnsi="Times New Roman" w:eastAsia="宋体"/>
                <w:b w:val="0"/>
                <w:i w:val="0"/>
                <w:color w:val="1F2937"/>
                <w:sz w:val="19"/>
              </w:rPr>
              <w:t>potential protective candidate</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差异但仅有 AMP 预测证据</w:t>
            </w:r>
          </w:p>
        </w:tc>
        <w:tc>
          <w:tcPr>
            <w:tcW w:type="dxa" w:w="2379"/>
            <w:shd w:val="clear" w:color="auto" w:fill="F2F5F9"/>
          </w:tcPr>
          <w:p>
            <w:pPr>
              <w:spacing w:after="40" w:line="276" w:lineRule="auto"/>
            </w:pPr>
            <w:r/>
            <w:r>
              <w:rPr>
                <w:rFonts w:ascii="Times New Roman" w:hAnsi="Times New Roman" w:eastAsia="宋体"/>
                <w:b w:val="0"/>
                <w:i w:val="0"/>
                <w:color w:val="1F2937"/>
                <w:sz w:val="19"/>
              </w:rPr>
              <w:t>预测阳性但未有表达、丰度或机制支持</w:t>
            </w:r>
          </w:p>
        </w:tc>
        <w:tc>
          <w:tcPr>
            <w:tcW w:type="dxa" w:w="2379"/>
            <w:shd w:val="clear" w:color="auto" w:fill="F2F5F9"/>
          </w:tcPr>
          <w:p>
            <w:pPr>
              <w:spacing w:after="40" w:line="276" w:lineRule="auto"/>
            </w:pPr>
            <w:r/>
            <w:r>
              <w:rPr>
                <w:rFonts w:ascii="Times New Roman" w:hAnsi="Times New Roman" w:eastAsia="宋体"/>
                <w:b w:val="0"/>
                <w:i w:val="0"/>
                <w:color w:val="1F2937"/>
                <w:sz w:val="19"/>
              </w:rPr>
              <w:t>未知</w:t>
            </w:r>
          </w:p>
        </w:tc>
        <w:tc>
          <w:tcPr>
            <w:tcW w:type="dxa" w:w="2379"/>
            <w:shd w:val="clear" w:color="auto" w:fill="F2F5F9"/>
          </w:tcPr>
          <w:p>
            <w:pPr>
              <w:spacing w:after="40" w:line="276" w:lineRule="auto"/>
            </w:pPr>
            <w:r/>
            <w:r>
              <w:rPr>
                <w:rFonts w:ascii="Times New Roman" w:hAnsi="Times New Roman" w:eastAsia="宋体"/>
                <w:b w:val="0"/>
                <w:i w:val="0"/>
                <w:color w:val="1F2937"/>
                <w:sz w:val="19"/>
              </w:rPr>
              <w:t>prediction-only candidate，暂不进入病理结论</w:t>
            </w:r>
          </w:p>
        </w:tc>
      </w:tr>
    </w:tbl>
    <w:p>
      <w:pPr>
        <w:spacing w:after="40"/>
      </w:pPr>
    </w:p>
    <w:p>
      <w:pPr>
        <w:spacing w:before="0" w:after="120" w:line="336" w:lineRule="auto"/>
        <w:ind w:firstLine="440"/>
      </w:pPr>
      <w:r>
        <w:rPr>
          <w:rFonts w:ascii="Times New Roman" w:hAnsi="Times New Roman" w:eastAsia="宋体"/>
          <w:b w:val="0"/>
          <w:i w:val="0"/>
          <w:color w:val="1F2937"/>
          <w:sz w:val="22"/>
        </w:rPr>
        <w:t>这里的“风险样”不是说肽本身已经被证明有毒，而是多个方向的证据把它推向“可能促进病理”的一侧。例如，一个 AD 富集的微生物 AMP 如果同时与产 LPS 菌增加、丁酸减少、肠屏障损伤指标升高相关，并且在 MD 中能稳定 LPS 或激活 TLR4/MD-2 相关界面，它的优先级会高于只有一次差异检验的肽。[13，14，15]</w:t>
      </w:r>
    </w:p>
    <w:p>
      <w:pPr>
        <w:spacing w:before="0" w:after="120" w:line="336" w:lineRule="auto"/>
        <w:ind w:firstLine="440"/>
      </w:pPr>
      <w:r>
        <w:rPr>
          <w:rFonts w:ascii="Times New Roman" w:hAnsi="Times New Roman" w:eastAsia="宋体"/>
          <w:b w:val="0"/>
          <w:i w:val="0"/>
          <w:color w:val="1F2937"/>
          <w:sz w:val="22"/>
        </w:rPr>
        <w:t>反过来，健康富集的肽也不能自动叫“抑制剂”。它可能只是某个健康相关菌的标志物，甚至可能具有广谱膜活性。只有当它与屏障、抗炎或 Aβ 无毒化/清除证据方向一致，并且暴露和表达合理，才可以叫“潜在保护性候选”。</w:t>
      </w:r>
    </w:p>
    <w:p>
      <w:pPr>
        <w:spacing w:before="160" w:after="80" w:line="324" w:lineRule="auto"/>
      </w:pPr>
      <w:r>
        <w:rPr>
          <w:rFonts w:ascii="Times New Roman" w:hAnsi="Times New Roman" w:eastAsia="微软雅黑"/>
          <w:b/>
          <w:i w:val="0"/>
          <w:color w:val="10305A"/>
          <w:sz w:val="21"/>
        </w:rPr>
        <w:t>表 4　证据等级：从预测到机制，不越级</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等级</w:t>
            </w:r>
          </w:p>
        </w:tc>
        <w:tc>
          <w:tcPr>
            <w:tcW w:type="dxa" w:w="2379"/>
            <w:shd w:val="clear" w:color="auto" w:fill="10305A"/>
          </w:tcPr>
          <w:p>
            <w:pPr>
              <w:jc w:val="center"/>
            </w:pPr>
            <w:r/>
            <w:r>
              <w:rPr>
                <w:rFonts w:ascii="Times New Roman" w:hAnsi="Times New Roman" w:eastAsia="微软雅黑"/>
                <w:b/>
                <w:i w:val="0"/>
                <w:color w:val="FFFFFF"/>
                <w:sz w:val="19"/>
              </w:rPr>
              <w:t>需要的证据</w:t>
            </w:r>
          </w:p>
        </w:tc>
        <w:tc>
          <w:tcPr>
            <w:tcW w:type="dxa" w:w="2379"/>
            <w:shd w:val="clear" w:color="auto" w:fill="10305A"/>
          </w:tcPr>
          <w:p>
            <w:pPr>
              <w:jc w:val="center"/>
            </w:pPr>
            <w:r/>
            <w:r>
              <w:rPr>
                <w:rFonts w:ascii="Times New Roman" w:hAnsi="Times New Roman" w:eastAsia="微软雅黑"/>
                <w:b/>
                <w:i w:val="0"/>
                <w:color w:val="FFFFFF"/>
                <w:sz w:val="19"/>
              </w:rPr>
              <w:t>可以写什么</w:t>
            </w:r>
          </w:p>
        </w:tc>
        <w:tc>
          <w:tcPr>
            <w:tcW w:type="dxa" w:w="2379"/>
            <w:shd w:val="clear" w:color="auto" w:fill="10305A"/>
          </w:tcPr>
          <w:p>
            <w:pPr>
              <w:jc w:val="center"/>
            </w:pPr>
            <w:r/>
            <w:r>
              <w:rPr>
                <w:rFonts w:ascii="Times New Roman" w:hAnsi="Times New Roman" w:eastAsia="微软雅黑"/>
                <w:b/>
                <w:i w:val="0"/>
                <w:color w:val="FFFFFF"/>
                <w:sz w:val="19"/>
              </w:rPr>
              <w:t>不可以写什么</w:t>
            </w:r>
          </w:p>
        </w:tc>
      </w:tr>
      <w:tr>
        <w:tc>
          <w:tcPr>
            <w:tcW w:type="dxa" w:w="2379"/>
          </w:tcPr>
          <w:p>
            <w:pPr>
              <w:spacing w:after="40" w:line="276" w:lineRule="auto"/>
            </w:pPr>
            <w:r/>
            <w:r>
              <w:rPr>
                <w:rFonts w:ascii="Times New Roman" w:hAnsi="Times New Roman" w:eastAsia="宋体"/>
                <w:b w:val="0"/>
                <w:i w:val="0"/>
                <w:color w:val="1F2937"/>
                <w:sz w:val="19"/>
              </w:rPr>
              <w:t>E0 预测</w:t>
            </w:r>
          </w:p>
        </w:tc>
        <w:tc>
          <w:tcPr>
            <w:tcW w:type="dxa" w:w="2379"/>
          </w:tcPr>
          <w:p>
            <w:pPr>
              <w:spacing w:after="40" w:line="276" w:lineRule="auto"/>
            </w:pPr>
            <w:r/>
            <w:r>
              <w:rPr>
                <w:rFonts w:ascii="Times New Roman" w:hAnsi="Times New Roman" w:eastAsia="宋体"/>
                <w:b w:val="0"/>
                <w:i w:val="0"/>
                <w:color w:val="1F2937"/>
                <w:sz w:val="19"/>
              </w:rPr>
              <w:t>至少一个深度学习模型阳性</w:t>
            </w:r>
          </w:p>
        </w:tc>
        <w:tc>
          <w:tcPr>
            <w:tcW w:type="dxa" w:w="2379"/>
          </w:tcPr>
          <w:p>
            <w:pPr>
              <w:spacing w:after="40" w:line="276" w:lineRule="auto"/>
            </w:pPr>
            <w:r/>
            <w:r>
              <w:rPr>
                <w:rFonts w:ascii="Times New Roman" w:hAnsi="Times New Roman" w:eastAsia="宋体"/>
                <w:b w:val="0"/>
                <w:i w:val="0"/>
                <w:color w:val="1F2937"/>
                <w:sz w:val="19"/>
              </w:rPr>
              <w:t>序列被预测为 AMP</w:t>
            </w:r>
          </w:p>
        </w:tc>
        <w:tc>
          <w:tcPr>
            <w:tcW w:type="dxa" w:w="2379"/>
          </w:tcPr>
          <w:p>
            <w:pPr>
              <w:spacing w:after="40" w:line="276" w:lineRule="auto"/>
            </w:pPr>
            <w:r/>
            <w:r>
              <w:rPr>
                <w:rFonts w:ascii="Times New Roman" w:hAnsi="Times New Roman" w:eastAsia="宋体"/>
                <w:b w:val="0"/>
                <w:i w:val="0"/>
                <w:color w:val="1F2937"/>
                <w:sz w:val="19"/>
              </w:rPr>
              <w:t>该肽与 AD 有关</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E1 差异</w:t>
            </w:r>
          </w:p>
        </w:tc>
        <w:tc>
          <w:tcPr>
            <w:tcW w:type="dxa" w:w="2379"/>
            <w:shd w:val="clear" w:color="auto" w:fill="F2F5F9"/>
          </w:tcPr>
          <w:p>
            <w:pPr>
              <w:spacing w:after="40" w:line="276" w:lineRule="auto"/>
            </w:pPr>
            <w:r/>
            <w:r>
              <w:rPr>
                <w:rFonts w:ascii="Times New Roman" w:hAnsi="Times New Roman" w:eastAsia="宋体"/>
                <w:b w:val="0"/>
                <w:i w:val="0"/>
                <w:color w:val="1F2937"/>
                <w:sz w:val="19"/>
              </w:rPr>
              <w:t>模型共识、检出率/丰度差异、FDR 与协变量校正</w:t>
            </w:r>
          </w:p>
        </w:tc>
        <w:tc>
          <w:tcPr>
            <w:tcW w:type="dxa" w:w="2379"/>
            <w:shd w:val="clear" w:color="auto" w:fill="F2F5F9"/>
          </w:tcPr>
          <w:p>
            <w:pPr>
              <w:spacing w:after="40" w:line="276" w:lineRule="auto"/>
            </w:pPr>
            <w:r/>
            <w:r>
              <w:rPr>
                <w:rFonts w:ascii="Times New Roman" w:hAnsi="Times New Roman" w:eastAsia="宋体"/>
                <w:b w:val="0"/>
                <w:i w:val="0"/>
                <w:color w:val="1F2937"/>
                <w:sz w:val="19"/>
              </w:rPr>
              <w:t>AD 相关差异 AMP</w:t>
            </w:r>
          </w:p>
        </w:tc>
        <w:tc>
          <w:tcPr>
            <w:tcW w:type="dxa" w:w="2379"/>
            <w:shd w:val="clear" w:color="auto" w:fill="F2F5F9"/>
          </w:tcPr>
          <w:p>
            <w:pPr>
              <w:spacing w:after="40" w:line="276" w:lineRule="auto"/>
            </w:pPr>
            <w:r/>
            <w:r>
              <w:rPr>
                <w:rFonts w:ascii="Times New Roman" w:hAnsi="Times New Roman" w:eastAsia="宋体"/>
                <w:b w:val="0"/>
                <w:i w:val="0"/>
                <w:color w:val="1F2937"/>
                <w:sz w:val="19"/>
              </w:rPr>
              <w:t>该肽导致 AD</w:t>
            </w:r>
          </w:p>
        </w:tc>
      </w:tr>
      <w:tr>
        <w:tc>
          <w:tcPr>
            <w:tcW w:type="dxa" w:w="2379"/>
          </w:tcPr>
          <w:p>
            <w:pPr>
              <w:spacing w:after="40" w:line="276" w:lineRule="auto"/>
            </w:pPr>
            <w:r/>
            <w:r>
              <w:rPr>
                <w:rFonts w:ascii="Times New Roman" w:hAnsi="Times New Roman" w:eastAsia="宋体"/>
                <w:b w:val="0"/>
                <w:i w:val="0"/>
                <w:color w:val="1F2937"/>
                <w:sz w:val="19"/>
              </w:rPr>
              <w:t>E2 暴露/功能</w:t>
            </w:r>
          </w:p>
        </w:tc>
        <w:tc>
          <w:tcPr>
            <w:tcW w:type="dxa" w:w="2379"/>
          </w:tcPr>
          <w:p>
            <w:pPr>
              <w:spacing w:after="40" w:line="276" w:lineRule="auto"/>
            </w:pPr>
            <w:r/>
            <w:r>
              <w:rPr>
                <w:rFonts w:ascii="Times New Roman" w:hAnsi="Times New Roman" w:eastAsia="宋体"/>
                <w:b w:val="0"/>
                <w:i w:val="0"/>
                <w:color w:val="1F2937"/>
                <w:sz w:val="19"/>
              </w:rPr>
              <w:t>表达或肽组学支持，来源菌和功能通路一致</w:t>
            </w:r>
          </w:p>
        </w:tc>
        <w:tc>
          <w:tcPr>
            <w:tcW w:type="dxa" w:w="2379"/>
          </w:tcPr>
          <w:p>
            <w:pPr>
              <w:spacing w:after="40" w:line="276" w:lineRule="auto"/>
            </w:pPr>
            <w:r/>
            <w:r>
              <w:rPr>
                <w:rFonts w:ascii="Times New Roman" w:hAnsi="Times New Roman" w:eastAsia="宋体"/>
                <w:b w:val="0"/>
                <w:i w:val="0"/>
                <w:color w:val="1F2937"/>
                <w:sz w:val="19"/>
              </w:rPr>
              <w:t>具有可实现的生物学路径</w:t>
            </w:r>
          </w:p>
        </w:tc>
        <w:tc>
          <w:tcPr>
            <w:tcW w:type="dxa" w:w="2379"/>
          </w:tcPr>
          <w:p>
            <w:pPr>
              <w:spacing w:after="40" w:line="276" w:lineRule="auto"/>
            </w:pPr>
            <w:r/>
            <w:r>
              <w:rPr>
                <w:rFonts w:ascii="Times New Roman" w:hAnsi="Times New Roman" w:eastAsia="宋体"/>
                <w:b w:val="0"/>
                <w:i w:val="0"/>
                <w:color w:val="1F2937"/>
                <w:sz w:val="19"/>
              </w:rPr>
              <w:t>一定能进入脑</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E3 机制支持</w:t>
            </w:r>
          </w:p>
        </w:tc>
        <w:tc>
          <w:tcPr>
            <w:tcW w:type="dxa" w:w="2379"/>
            <w:shd w:val="clear" w:color="auto" w:fill="F2F5F9"/>
          </w:tcPr>
          <w:p>
            <w:pPr>
              <w:spacing w:after="40" w:line="276" w:lineRule="auto"/>
            </w:pPr>
            <w:r/>
            <w:r>
              <w:rPr>
                <w:rFonts w:ascii="Times New Roman" w:hAnsi="Times New Roman" w:eastAsia="宋体"/>
                <w:b w:val="0"/>
                <w:i w:val="0"/>
                <w:color w:val="1F2937"/>
                <w:sz w:val="19"/>
              </w:rPr>
              <w:t>中介/网络、结构模拟、受体或膜机制多层一致</w:t>
            </w:r>
          </w:p>
        </w:tc>
        <w:tc>
          <w:tcPr>
            <w:tcW w:type="dxa" w:w="2379"/>
            <w:shd w:val="clear" w:color="auto" w:fill="F2F5F9"/>
          </w:tcPr>
          <w:p>
            <w:pPr>
              <w:spacing w:after="40" w:line="276" w:lineRule="auto"/>
            </w:pPr>
            <w:r/>
            <w:r>
              <w:rPr>
                <w:rFonts w:ascii="Times New Roman" w:hAnsi="Times New Roman" w:eastAsia="宋体"/>
                <w:b w:val="0"/>
                <w:i w:val="0"/>
                <w:color w:val="1F2937"/>
                <w:sz w:val="19"/>
              </w:rPr>
              <w:t>机制优先级较高的候选</w:t>
            </w:r>
          </w:p>
        </w:tc>
        <w:tc>
          <w:tcPr>
            <w:tcW w:type="dxa" w:w="2379"/>
            <w:shd w:val="clear" w:color="auto" w:fill="F2F5F9"/>
          </w:tcPr>
          <w:p>
            <w:pPr>
              <w:spacing w:after="40" w:line="276" w:lineRule="auto"/>
            </w:pPr>
            <w:r/>
            <w:r>
              <w:rPr>
                <w:rFonts w:ascii="Times New Roman" w:hAnsi="Times New Roman" w:eastAsia="宋体"/>
                <w:b w:val="0"/>
                <w:i w:val="0"/>
                <w:color w:val="1F2937"/>
                <w:sz w:val="19"/>
              </w:rPr>
              <w:t>已证明因果</w:t>
            </w:r>
          </w:p>
        </w:tc>
      </w:tr>
      <w:tr>
        <w:tc>
          <w:tcPr>
            <w:tcW w:type="dxa" w:w="2379"/>
          </w:tcPr>
          <w:p>
            <w:pPr>
              <w:spacing w:after="40" w:line="276" w:lineRule="auto"/>
            </w:pPr>
            <w:r/>
            <w:r>
              <w:rPr>
                <w:rFonts w:ascii="Times New Roman" w:hAnsi="Times New Roman" w:eastAsia="宋体"/>
                <w:b w:val="0"/>
                <w:i w:val="0"/>
                <w:color w:val="1F2937"/>
                <w:sz w:val="19"/>
              </w:rPr>
              <w:t>E4 干预因果</w:t>
            </w:r>
          </w:p>
        </w:tc>
        <w:tc>
          <w:tcPr>
            <w:tcW w:type="dxa" w:w="2379"/>
          </w:tcPr>
          <w:p>
            <w:pPr>
              <w:spacing w:after="40" w:line="276" w:lineRule="auto"/>
            </w:pPr>
            <w:r/>
            <w:r>
              <w:rPr>
                <w:rFonts w:ascii="Times New Roman" w:hAnsi="Times New Roman" w:eastAsia="宋体"/>
                <w:b w:val="0"/>
                <w:i w:val="0"/>
                <w:color w:val="1F2937"/>
                <w:sz w:val="19"/>
              </w:rPr>
              <w:t>加入/去除/阻断该肽改变 AD 相关表型</w:t>
            </w:r>
          </w:p>
        </w:tc>
        <w:tc>
          <w:tcPr>
            <w:tcW w:type="dxa" w:w="2379"/>
          </w:tcPr>
          <w:p>
            <w:pPr>
              <w:spacing w:after="40" w:line="276" w:lineRule="auto"/>
            </w:pPr>
            <w:r/>
            <w:r>
              <w:rPr>
                <w:rFonts w:ascii="Times New Roman" w:hAnsi="Times New Roman" w:eastAsia="宋体"/>
                <w:b w:val="0"/>
                <w:i w:val="0"/>
                <w:color w:val="1F2937"/>
                <w:sz w:val="19"/>
              </w:rPr>
              <w:t>可讨论因果作用或治疗潜力</w:t>
            </w:r>
          </w:p>
        </w:tc>
        <w:tc>
          <w:tcPr>
            <w:tcW w:type="dxa" w:w="2379"/>
          </w:tcPr>
          <w:p>
            <w:pPr>
              <w:spacing w:after="40" w:line="276" w:lineRule="auto"/>
            </w:pPr>
            <w:r/>
            <w:r>
              <w:rPr>
                <w:rFonts w:ascii="Times New Roman" w:hAnsi="Times New Roman" w:eastAsia="宋体"/>
                <w:b w:val="0"/>
                <w:i w:val="0"/>
                <w:color w:val="1F2937"/>
                <w:sz w:val="19"/>
              </w:rPr>
              <w:t>仅凭 MD 得到临床结论</w:t>
            </w:r>
          </w:p>
        </w:tc>
      </w:tr>
    </w:tbl>
    <w:p>
      <w:pPr>
        <w:spacing w:after="40"/>
      </w:pPr>
    </w:p>
    <w:p>
      <w:pPr>
        <w:spacing w:before="240" w:after="100" w:line="288" w:lineRule="auto"/>
      </w:pPr>
      <w:r>
        <w:rPr>
          <w:rFonts w:ascii="Times New Roman" w:hAnsi="Times New Roman" w:eastAsia="微软雅黑"/>
          <w:b/>
          <w:i w:val="0"/>
          <w:color w:val="10305A"/>
          <w:sz w:val="27"/>
        </w:rPr>
        <w:t>2.2 候选肽机制评分，而不是只看一次 P 值</w:t>
      </w:r>
    </w:p>
    <w:p>
      <w:pPr>
        <w:spacing w:before="0" w:after="120" w:line="336" w:lineRule="auto"/>
        <w:ind w:firstLine="440"/>
      </w:pPr>
      <w:r>
        <w:rPr>
          <w:rFonts w:ascii="Times New Roman" w:hAnsi="Times New Roman" w:eastAsia="宋体"/>
          <w:b w:val="0"/>
          <w:i w:val="0"/>
          <w:color w:val="1F2937"/>
          <w:sz w:val="22"/>
        </w:rPr>
        <w:t>建议给每条差异肽建立一张机制卡片。卡片不输出虚假的“结果”，而是把已有结果、待补结果和证据方向分开。可以用五个 0-2 分维度做透明排序：D 为差异稳健性，G 为菌群生态连接，H 为宿主炎症/屏障连接，X 为暴露与跨区室可行性，M 为分子机制方向。总分只是优先级工具，不是因果概率。</w:t>
      </w:r>
    </w:p>
    <w:p>
      <w:pPr>
        <w:spacing w:before="0" w:after="120" w:line="336" w:lineRule="auto"/>
        <w:ind w:firstLine="440"/>
      </w:pPr>
      <w:r>
        <w:rPr>
          <w:rFonts w:ascii="Times New Roman" w:hAnsi="Times New Roman" w:eastAsia="宋体"/>
          <w:b w:val="0"/>
          <w:i w:val="0"/>
          <w:color w:val="1F2937"/>
          <w:sz w:val="22"/>
        </w:rPr>
        <w:t>候选肽优先级可以写成 Priority = D + G + H + X + M。D 是差异稳健性，G 是菌群生态连接，H 是炎症/屏障连接，X 是表达、稳定性和跨区室可行性，M 是分子机制方向。每项按 0-2 分记录，分数只用于排序，不是因果概率。</w:t>
      </w:r>
    </w:p>
    <w:p>
      <w:pPr>
        <w:spacing w:before="40" w:after="120" w:line="324" w:lineRule="auto"/>
        <w:ind w:firstLine="200"/>
      </w:pPr>
      <w:r>
        <w:rPr>
          <w:rFonts w:ascii="Times New Roman" w:hAnsi="Times New Roman" w:eastAsia="楷体"/>
          <w:b w:val="0"/>
          <w:i/>
          <w:color w:val="555555"/>
          <w:sz w:val="20"/>
        </w:rPr>
        <w:t>▶ 这五项最好在结果出来后再评分；现在只能写成预注册的判定规则，不能把示例分数冒充真实结果。</w:t>
      </w:r>
    </w:p>
    <w:p>
      <w:pPr>
        <w:spacing w:before="320" w:after="160" w:line="288" w:lineRule="auto"/>
      </w:pPr>
      <w:r>
        <w:rPr>
          <w:rFonts w:ascii="Times New Roman" w:hAnsi="Times New Roman" w:eastAsia="微软雅黑"/>
          <w:b/>
          <w:i w:val="0"/>
          <w:color w:val="10305A"/>
          <w:sz w:val="34"/>
        </w:rPr>
        <w:t>三、三条最合理的病理关联路径</w:t>
      </w:r>
    </w:p>
    <w:p>
      <w:pPr>
        <w:spacing w:before="240" w:after="100" w:line="288" w:lineRule="auto"/>
      </w:pPr>
      <w:r>
        <w:rPr>
          <w:rFonts w:ascii="Times New Roman" w:hAnsi="Times New Roman" w:eastAsia="微软雅黑"/>
          <w:b/>
          <w:i w:val="0"/>
          <w:color w:val="10305A"/>
          <w:sz w:val="27"/>
        </w:rPr>
        <w:t>3.1 主路径：肠道生态选择 → 屏障/炎症 → 脑内病理</w:t>
      </w:r>
    </w:p>
    <w:p>
      <w:pPr>
        <w:spacing w:before="0" w:after="120" w:line="336" w:lineRule="auto"/>
        <w:ind w:firstLine="440"/>
      </w:pPr>
      <w:r>
        <w:rPr>
          <w:rFonts w:ascii="Times New Roman" w:hAnsi="Times New Roman" w:eastAsia="宋体"/>
          <w:b w:val="0"/>
          <w:i w:val="0"/>
          <w:color w:val="1F2937"/>
          <w:sz w:val="22"/>
        </w:rPr>
        <w:t>对你的“肠道微生物组 AMP 差异”课题，最优先、最容易解释的不是候选肽直接穿过 BBB，而是生态路径：某些微生物源 AMP 的增加或减少改变细菌之间的竞争和空间分布，进而改变产 LPS 菌、产短链脂肪酸菌和黏膜相关菌的相对丰度；随后肠屏障和免疫状态改变，LPS、细菌代谢物或炎症介质进入循环，影响 BBB、小胶质细胞、Aβ 清除和 Tau 磷酸化。肠道 AMP 调节微生物生态的经典证据来自 α-防御素、RegIIIγ 和 Paneth 细胞研究。[8，16，17，7，18]</w:t>
      </w:r>
    </w:p>
    <w:p>
      <w:pPr>
        <w:spacing w:before="160" w:after="80" w:line="324" w:lineRule="auto"/>
      </w:pPr>
      <w:r>
        <w:rPr>
          <w:rFonts w:ascii="Times New Roman" w:hAnsi="Times New Roman" w:eastAsia="微软雅黑"/>
          <w:b/>
          <w:i w:val="0"/>
          <w:color w:val="10305A"/>
          <w:sz w:val="21"/>
        </w:rPr>
        <w:t>表 5　主路径每一步需要什么证据</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步骤</w:t>
            </w:r>
          </w:p>
        </w:tc>
        <w:tc>
          <w:tcPr>
            <w:tcW w:type="dxa" w:w="2379"/>
            <w:shd w:val="clear" w:color="auto" w:fill="10305A"/>
          </w:tcPr>
          <w:p>
            <w:pPr>
              <w:jc w:val="center"/>
            </w:pPr>
            <w:r/>
            <w:r>
              <w:rPr>
                <w:rFonts w:ascii="Times New Roman" w:hAnsi="Times New Roman" w:eastAsia="微软雅黑"/>
                <w:b/>
                <w:i w:val="0"/>
                <w:color w:val="FFFFFF"/>
                <w:sz w:val="19"/>
              </w:rPr>
              <w:t>生物学含义</w:t>
            </w:r>
          </w:p>
        </w:tc>
        <w:tc>
          <w:tcPr>
            <w:tcW w:type="dxa" w:w="2379"/>
            <w:shd w:val="clear" w:color="auto" w:fill="10305A"/>
          </w:tcPr>
          <w:p>
            <w:pPr>
              <w:jc w:val="center"/>
            </w:pPr>
            <w:r/>
            <w:r>
              <w:rPr>
                <w:rFonts w:ascii="Times New Roman" w:hAnsi="Times New Roman" w:eastAsia="微软雅黑"/>
                <w:b/>
                <w:i w:val="0"/>
                <w:color w:val="FFFFFF"/>
                <w:sz w:val="19"/>
              </w:rPr>
              <w:t>数据/计算证据</w:t>
            </w:r>
          </w:p>
        </w:tc>
        <w:tc>
          <w:tcPr>
            <w:tcW w:type="dxa" w:w="2379"/>
            <w:shd w:val="clear" w:color="auto" w:fill="10305A"/>
          </w:tcPr>
          <w:p>
            <w:pPr>
              <w:jc w:val="center"/>
            </w:pPr>
            <w:r/>
            <w:r>
              <w:rPr>
                <w:rFonts w:ascii="Times New Roman" w:hAnsi="Times New Roman" w:eastAsia="微软雅黑"/>
                <w:b/>
                <w:i w:val="0"/>
                <w:color w:val="FFFFFF"/>
                <w:sz w:val="19"/>
              </w:rPr>
              <w:t>常见误读</w:t>
            </w:r>
          </w:p>
        </w:tc>
      </w:tr>
      <w:tr>
        <w:tc>
          <w:tcPr>
            <w:tcW w:type="dxa" w:w="2379"/>
          </w:tcPr>
          <w:p>
            <w:pPr>
              <w:spacing w:after="40" w:line="276" w:lineRule="auto"/>
            </w:pPr>
            <w:r/>
            <w:r>
              <w:rPr>
                <w:rFonts w:ascii="Times New Roman" w:hAnsi="Times New Roman" w:eastAsia="宋体"/>
                <w:b w:val="0"/>
                <w:i w:val="0"/>
                <w:color w:val="1F2937"/>
                <w:sz w:val="19"/>
              </w:rPr>
              <w:t>1 AMP 改变</w:t>
            </w:r>
          </w:p>
        </w:tc>
        <w:tc>
          <w:tcPr>
            <w:tcW w:type="dxa" w:w="2379"/>
          </w:tcPr>
          <w:p>
            <w:pPr>
              <w:spacing w:after="40" w:line="276" w:lineRule="auto"/>
            </w:pPr>
            <w:r/>
            <w:r>
              <w:rPr>
                <w:rFonts w:ascii="Times New Roman" w:hAnsi="Times New Roman" w:eastAsia="宋体"/>
                <w:b w:val="0"/>
                <w:i w:val="0"/>
                <w:color w:val="1F2937"/>
                <w:sz w:val="19"/>
              </w:rPr>
              <w:t>AD 与健康组的候选肽组成或丰度不同</w:t>
            </w:r>
          </w:p>
        </w:tc>
        <w:tc>
          <w:tcPr>
            <w:tcW w:type="dxa" w:w="2379"/>
          </w:tcPr>
          <w:p>
            <w:pPr>
              <w:spacing w:after="40" w:line="276" w:lineRule="auto"/>
            </w:pPr>
            <w:r/>
            <w:r>
              <w:rPr>
                <w:rFonts w:ascii="Times New Roman" w:hAnsi="Times New Roman" w:eastAsia="宋体"/>
                <w:b w:val="0"/>
                <w:i w:val="0"/>
                <w:color w:val="1F2937"/>
                <w:sz w:val="19"/>
              </w:rPr>
              <w:t>CLR/ANCOM-BC/Maaslin2、检出率、分期趋势</w:t>
            </w:r>
          </w:p>
        </w:tc>
        <w:tc>
          <w:tcPr>
            <w:tcW w:type="dxa" w:w="2379"/>
          </w:tcPr>
          <w:p>
            <w:pPr>
              <w:spacing w:after="40" w:line="276" w:lineRule="auto"/>
            </w:pPr>
            <w:r/>
            <w:r>
              <w:rPr>
                <w:rFonts w:ascii="Times New Roman" w:hAnsi="Times New Roman" w:eastAsia="宋体"/>
                <w:b w:val="0"/>
                <w:i w:val="0"/>
                <w:color w:val="1F2937"/>
                <w:sz w:val="19"/>
              </w:rPr>
              <w:t>把预测概率当丰度</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2 菌群选择</w:t>
            </w:r>
          </w:p>
        </w:tc>
        <w:tc>
          <w:tcPr>
            <w:tcW w:type="dxa" w:w="2379"/>
            <w:shd w:val="clear" w:color="auto" w:fill="F2F5F9"/>
          </w:tcPr>
          <w:p>
            <w:pPr>
              <w:spacing w:after="40" w:line="276" w:lineRule="auto"/>
            </w:pPr>
            <w:r/>
            <w:r>
              <w:rPr>
                <w:rFonts w:ascii="Times New Roman" w:hAnsi="Times New Roman" w:eastAsia="宋体"/>
                <w:b w:val="0"/>
                <w:i w:val="0"/>
                <w:color w:val="1F2937"/>
                <w:sz w:val="19"/>
              </w:rPr>
              <w:t>AMP 对来源菌或竞争菌产生选择压力</w:t>
            </w:r>
          </w:p>
        </w:tc>
        <w:tc>
          <w:tcPr>
            <w:tcW w:type="dxa" w:w="2379"/>
            <w:shd w:val="clear" w:color="auto" w:fill="F2F5F9"/>
          </w:tcPr>
          <w:p>
            <w:pPr>
              <w:spacing w:after="40" w:line="276" w:lineRule="auto"/>
            </w:pPr>
            <w:r/>
            <w:r>
              <w:rPr>
                <w:rFonts w:ascii="Times New Roman" w:hAnsi="Times New Roman" w:eastAsia="宋体"/>
                <w:b w:val="0"/>
                <w:i w:val="0"/>
                <w:color w:val="1F2937"/>
                <w:sz w:val="19"/>
              </w:rPr>
              <w:t>AMP-菌属关联、共现网络、生态模型、膜/LPS MD</w:t>
            </w:r>
          </w:p>
        </w:tc>
        <w:tc>
          <w:tcPr>
            <w:tcW w:type="dxa" w:w="2379"/>
            <w:shd w:val="clear" w:color="auto" w:fill="F2F5F9"/>
          </w:tcPr>
          <w:p>
            <w:pPr>
              <w:spacing w:after="40" w:line="276" w:lineRule="auto"/>
            </w:pPr>
            <w:r/>
            <w:r>
              <w:rPr>
                <w:rFonts w:ascii="Times New Roman" w:hAnsi="Times New Roman" w:eastAsia="宋体"/>
                <w:b w:val="0"/>
                <w:i w:val="0"/>
                <w:color w:val="1F2937"/>
                <w:sz w:val="19"/>
              </w:rPr>
              <w:t>看到相关就说直接杀菌</w:t>
            </w:r>
          </w:p>
        </w:tc>
      </w:tr>
      <w:tr>
        <w:tc>
          <w:tcPr>
            <w:tcW w:type="dxa" w:w="2379"/>
          </w:tcPr>
          <w:p>
            <w:pPr>
              <w:spacing w:after="40" w:line="276" w:lineRule="auto"/>
            </w:pPr>
            <w:r/>
            <w:r>
              <w:rPr>
                <w:rFonts w:ascii="Times New Roman" w:hAnsi="Times New Roman" w:eastAsia="宋体"/>
                <w:b w:val="0"/>
                <w:i w:val="0"/>
                <w:color w:val="1F2937"/>
                <w:sz w:val="19"/>
              </w:rPr>
              <w:t>3 代谢/屏障</w:t>
            </w:r>
          </w:p>
        </w:tc>
        <w:tc>
          <w:tcPr>
            <w:tcW w:type="dxa" w:w="2379"/>
          </w:tcPr>
          <w:p>
            <w:pPr>
              <w:spacing w:after="40" w:line="276" w:lineRule="auto"/>
            </w:pPr>
            <w:r/>
            <w:r>
              <w:rPr>
                <w:rFonts w:ascii="Times New Roman" w:hAnsi="Times New Roman" w:eastAsia="宋体"/>
                <w:b w:val="0"/>
                <w:i w:val="0"/>
                <w:color w:val="1F2937"/>
                <w:sz w:val="19"/>
              </w:rPr>
              <w:t>LPS、SCFA、胆汁酸或紧密连接改变</w:t>
            </w:r>
          </w:p>
        </w:tc>
        <w:tc>
          <w:tcPr>
            <w:tcW w:type="dxa" w:w="2379"/>
          </w:tcPr>
          <w:p>
            <w:pPr>
              <w:spacing w:after="40" w:line="276" w:lineRule="auto"/>
            </w:pPr>
            <w:r/>
            <w:r>
              <w:rPr>
                <w:rFonts w:ascii="Times New Roman" w:hAnsi="Times New Roman" w:eastAsia="宋体"/>
                <w:b w:val="0"/>
                <w:i w:val="0"/>
                <w:color w:val="1F2937"/>
                <w:sz w:val="19"/>
              </w:rPr>
              <w:t>功能通路、代谢物数据、介导模型、公开证据</w:t>
            </w:r>
          </w:p>
        </w:tc>
        <w:tc>
          <w:tcPr>
            <w:tcW w:type="dxa" w:w="2379"/>
          </w:tcPr>
          <w:p>
            <w:pPr>
              <w:spacing w:after="40" w:line="276" w:lineRule="auto"/>
            </w:pPr>
            <w:r/>
            <w:r>
              <w:rPr>
                <w:rFonts w:ascii="Times New Roman" w:hAnsi="Times New Roman" w:eastAsia="宋体"/>
                <w:b w:val="0"/>
                <w:i w:val="0"/>
                <w:color w:val="1F2937"/>
                <w:sz w:val="19"/>
              </w:rPr>
              <w:t>只凭菌属名称推断代谢</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4 BBB/脑免疫</w:t>
            </w:r>
          </w:p>
        </w:tc>
        <w:tc>
          <w:tcPr>
            <w:tcW w:type="dxa" w:w="2379"/>
            <w:shd w:val="clear" w:color="auto" w:fill="F2F5F9"/>
          </w:tcPr>
          <w:p>
            <w:pPr>
              <w:spacing w:after="40" w:line="276" w:lineRule="auto"/>
            </w:pPr>
            <w:r/>
            <w:r>
              <w:rPr>
                <w:rFonts w:ascii="Times New Roman" w:hAnsi="Times New Roman" w:eastAsia="宋体"/>
                <w:b w:val="0"/>
                <w:i w:val="0"/>
                <w:color w:val="1F2937"/>
                <w:sz w:val="19"/>
              </w:rPr>
              <w:t>外周信号影响 BBB、小胶质和 Aβ 清除</w:t>
            </w:r>
          </w:p>
        </w:tc>
        <w:tc>
          <w:tcPr>
            <w:tcW w:type="dxa" w:w="2379"/>
            <w:shd w:val="clear" w:color="auto" w:fill="F2F5F9"/>
          </w:tcPr>
          <w:p>
            <w:pPr>
              <w:spacing w:after="40" w:line="276" w:lineRule="auto"/>
            </w:pPr>
            <w:r/>
            <w:r>
              <w:rPr>
                <w:rFonts w:ascii="Times New Roman" w:hAnsi="Times New Roman" w:eastAsia="宋体"/>
                <w:b w:val="0"/>
                <w:i w:val="0"/>
                <w:color w:val="1F2937"/>
                <w:sz w:val="19"/>
              </w:rPr>
              <w:t>BBB/炎症指标、文献、转运和信号模型</w:t>
            </w:r>
          </w:p>
        </w:tc>
        <w:tc>
          <w:tcPr>
            <w:tcW w:type="dxa" w:w="2379"/>
            <w:shd w:val="clear" w:color="auto" w:fill="F2F5F9"/>
          </w:tcPr>
          <w:p>
            <w:pPr>
              <w:spacing w:after="40" w:line="276" w:lineRule="auto"/>
            </w:pPr>
            <w:r/>
            <w:r>
              <w:rPr>
                <w:rFonts w:ascii="Times New Roman" w:hAnsi="Times New Roman" w:eastAsia="宋体"/>
                <w:b w:val="0"/>
                <w:i w:val="0"/>
                <w:color w:val="1F2937"/>
                <w:sz w:val="19"/>
              </w:rPr>
              <w:t>没有血液/脑数据却说入脑</w:t>
            </w:r>
          </w:p>
        </w:tc>
      </w:tr>
      <w:tr>
        <w:tc>
          <w:tcPr>
            <w:tcW w:type="dxa" w:w="2379"/>
          </w:tcPr>
          <w:p>
            <w:pPr>
              <w:spacing w:after="40" w:line="276" w:lineRule="auto"/>
            </w:pPr>
            <w:r/>
            <w:r>
              <w:rPr>
                <w:rFonts w:ascii="Times New Roman" w:hAnsi="Times New Roman" w:eastAsia="宋体"/>
                <w:b w:val="0"/>
                <w:i w:val="0"/>
                <w:color w:val="1F2937"/>
                <w:sz w:val="19"/>
              </w:rPr>
              <w:t>5 AD 表型</w:t>
            </w:r>
          </w:p>
        </w:tc>
        <w:tc>
          <w:tcPr>
            <w:tcW w:type="dxa" w:w="2379"/>
          </w:tcPr>
          <w:p>
            <w:pPr>
              <w:spacing w:after="40" w:line="276" w:lineRule="auto"/>
            </w:pPr>
            <w:r/>
            <w:r>
              <w:rPr>
                <w:rFonts w:ascii="Times New Roman" w:hAnsi="Times New Roman" w:eastAsia="宋体"/>
                <w:b w:val="0"/>
                <w:i w:val="0"/>
                <w:color w:val="1F2937"/>
                <w:sz w:val="19"/>
              </w:rPr>
              <w:t>Aβ、Tau、突触和认知相关病理改变</w:t>
            </w:r>
          </w:p>
        </w:tc>
        <w:tc>
          <w:tcPr>
            <w:tcW w:type="dxa" w:w="2379"/>
          </w:tcPr>
          <w:p>
            <w:pPr>
              <w:spacing w:after="40" w:line="276" w:lineRule="auto"/>
            </w:pPr>
            <w:r/>
            <w:r>
              <w:rPr>
                <w:rFonts w:ascii="Times New Roman" w:hAnsi="Times New Roman" w:eastAsia="宋体"/>
                <w:b w:val="0"/>
                <w:i w:val="0"/>
                <w:color w:val="1F2937"/>
                <w:sz w:val="19"/>
              </w:rPr>
              <w:t>临床或动物表型、干预实验</w:t>
            </w:r>
          </w:p>
        </w:tc>
        <w:tc>
          <w:tcPr>
            <w:tcW w:type="dxa" w:w="2379"/>
          </w:tcPr>
          <w:p>
            <w:pPr>
              <w:spacing w:after="40" w:line="276" w:lineRule="auto"/>
            </w:pPr>
            <w:r/>
            <w:r>
              <w:rPr>
                <w:rFonts w:ascii="Times New Roman" w:hAnsi="Times New Roman" w:eastAsia="宋体"/>
                <w:b w:val="0"/>
                <w:i w:val="0"/>
                <w:color w:val="1F2937"/>
                <w:sz w:val="19"/>
              </w:rPr>
              <w:t>仅凭序列直接下病因结论</w:t>
            </w:r>
          </w:p>
        </w:tc>
      </w:tr>
    </w:tbl>
    <w:p>
      <w:pPr>
        <w:spacing w:after="40"/>
      </w:pPr>
    </w:p>
    <w:p>
      <w:pPr>
        <w:spacing w:before="240" w:after="100" w:line="288" w:lineRule="auto"/>
      </w:pPr>
      <w:r>
        <w:rPr>
          <w:rFonts w:ascii="Times New Roman" w:hAnsi="Times New Roman" w:eastAsia="微软雅黑"/>
          <w:b/>
          <w:i w:val="0"/>
          <w:color w:val="10305A"/>
          <w:sz w:val="27"/>
        </w:rPr>
        <w:t>3.2 次路径：候选肽或来源菌诱导宿主 AMP/炎症</w:t>
      </w:r>
    </w:p>
    <w:p>
      <w:pPr>
        <w:spacing w:before="0" w:after="120" w:line="336" w:lineRule="auto"/>
        <w:ind w:firstLine="440"/>
      </w:pPr>
      <w:r>
        <w:rPr>
          <w:rFonts w:ascii="Times New Roman" w:hAnsi="Times New Roman" w:eastAsia="宋体"/>
          <w:b w:val="0"/>
          <w:i w:val="0"/>
          <w:color w:val="1F2937"/>
          <w:sz w:val="22"/>
        </w:rPr>
        <w:t>肠道微生物源 AMP 即使不进入脑，也可能通过肠上皮或免疫细胞的模式识别改变宿主防御程序。例如菌体成分和屏障损伤可激活 TLR、NOD2 或 IL-22-STAT3 相关轴，使 Paneth 细胞和上皮细胞改变宿主防御肽表达；外周炎症再通过循环因子和 BBB 影响脑。因而应把“微生物源 AMP 本身”和“它引起的宿主 AMP/炎症反应”分别建模。[19，20，21]</w:t>
      </w:r>
    </w:p>
    <w:p>
      <w:pPr>
        <w:spacing w:before="240" w:after="100" w:line="288" w:lineRule="auto"/>
      </w:pPr>
      <w:r>
        <w:rPr>
          <w:rFonts w:ascii="Times New Roman" w:hAnsi="Times New Roman" w:eastAsia="微软雅黑"/>
          <w:b/>
          <w:i w:val="0"/>
          <w:color w:val="10305A"/>
          <w:sz w:val="27"/>
        </w:rPr>
        <w:t>3.3 低优先级路径：候选肽直接入脑或直接作用于 Aβ</w:t>
      </w:r>
    </w:p>
    <w:p>
      <w:pPr>
        <w:spacing w:before="0" w:after="120" w:line="336" w:lineRule="auto"/>
        <w:ind w:firstLine="440"/>
      </w:pPr>
      <w:r>
        <w:rPr>
          <w:rFonts w:ascii="Times New Roman" w:hAnsi="Times New Roman" w:eastAsia="宋体"/>
          <w:b w:val="0"/>
          <w:i w:val="0"/>
          <w:color w:val="1F2937"/>
          <w:sz w:val="22"/>
        </w:rPr>
        <w:t>直接入脑不是默认路径。微生物源 AMP 需要同时满足分泌、耐蛋白酶、达到有效浓度、穿过肠屏障、在血液中保持完整、跨越 BBB，并且在脑内达到作用浓度。只要其中一环不成立，直接入脑假说就应降级。BBB 和 Aβ 计算可以保留，但应该被写成“条件性验证”，不能成为所有差异肽的统一解释。[22，23，24]</w:t>
      </w:r>
    </w:p>
    <w:p>
      <w:pPr>
        <w:spacing w:before="320" w:after="160" w:line="288" w:lineRule="auto"/>
      </w:pPr>
      <w:r>
        <w:rPr>
          <w:rFonts w:ascii="Times New Roman" w:hAnsi="Times New Roman" w:eastAsia="微软雅黑"/>
          <w:b/>
          <w:i w:val="0"/>
          <w:color w:val="10305A"/>
          <w:sz w:val="34"/>
        </w:rPr>
        <w:t>四、Aβ 结合到底能说明什么，不能说明什么</w:t>
      </w:r>
    </w:p>
    <w:p>
      <w:pPr>
        <w:spacing w:before="0" w:after="120" w:line="336" w:lineRule="auto"/>
        <w:ind w:firstLine="440"/>
      </w:pPr>
      <w:r>
        <w:rPr>
          <w:rFonts w:ascii="Times New Roman" w:hAnsi="Times New Roman" w:eastAsia="宋体"/>
          <w:b w:val="0"/>
          <w:i w:val="0"/>
          <w:color w:val="1F2937"/>
          <w:sz w:val="22"/>
        </w:rPr>
        <w:t>Aβ 是一个病理相关读数，不是唯一的机制入口。AMP 与 Aβ 结合可能产生至少四种不同结果：促进无毒可溶复合物、抑制纤维形成但稳定有毒寡聚体、促进异常聚集、或仅仅是非特异性静电吸附。LL-37 文献本身就出现“抑制长直纤维”和“可能稳定不同寡聚体”两种需要区分的解释；因此“结合”只是一条起点证据。[3，25，26]</w:t>
      </w:r>
    </w:p>
    <w:p>
      <w:pPr>
        <w:spacing w:before="160" w:after="80" w:line="324" w:lineRule="auto"/>
      </w:pPr>
      <w:r>
        <w:rPr>
          <w:rFonts w:ascii="Times New Roman" w:hAnsi="Times New Roman" w:eastAsia="微软雅黑"/>
          <w:b/>
          <w:i w:val="0"/>
          <w:color w:val="10305A"/>
          <w:sz w:val="21"/>
        </w:rPr>
        <w:t>表 6　Aβ 计算读数与病理含义的对应关系</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读数</w:t>
            </w:r>
          </w:p>
        </w:tc>
        <w:tc>
          <w:tcPr>
            <w:tcW w:type="dxa" w:w="2379"/>
            <w:shd w:val="clear" w:color="auto" w:fill="10305A"/>
          </w:tcPr>
          <w:p>
            <w:pPr>
              <w:jc w:val="center"/>
            </w:pPr>
            <w:r/>
            <w:r>
              <w:rPr>
                <w:rFonts w:ascii="Times New Roman" w:hAnsi="Times New Roman" w:eastAsia="微软雅黑"/>
                <w:b/>
                <w:i w:val="0"/>
                <w:color w:val="FFFFFF"/>
                <w:sz w:val="19"/>
              </w:rPr>
              <w:t>它能支持什么</w:t>
            </w:r>
          </w:p>
        </w:tc>
        <w:tc>
          <w:tcPr>
            <w:tcW w:type="dxa" w:w="2379"/>
            <w:shd w:val="clear" w:color="auto" w:fill="10305A"/>
          </w:tcPr>
          <w:p>
            <w:pPr>
              <w:jc w:val="center"/>
            </w:pPr>
            <w:r/>
            <w:r>
              <w:rPr>
                <w:rFonts w:ascii="Times New Roman" w:hAnsi="Times New Roman" w:eastAsia="微软雅黑"/>
                <w:b/>
                <w:i w:val="0"/>
                <w:color w:val="FFFFFF"/>
                <w:sz w:val="19"/>
              </w:rPr>
              <w:t>还缺什么</w:t>
            </w:r>
          </w:p>
        </w:tc>
        <w:tc>
          <w:tcPr>
            <w:tcW w:type="dxa" w:w="2379"/>
            <w:shd w:val="clear" w:color="auto" w:fill="10305A"/>
          </w:tcPr>
          <w:p>
            <w:pPr>
              <w:jc w:val="center"/>
            </w:pPr>
            <w:r/>
            <w:r>
              <w:rPr>
                <w:rFonts w:ascii="Times New Roman" w:hAnsi="Times New Roman" w:eastAsia="微软雅黑"/>
                <w:b/>
                <w:i w:val="0"/>
                <w:color w:val="FFFFFF"/>
                <w:sz w:val="19"/>
              </w:rPr>
              <w:t>结论标签</w:t>
            </w:r>
          </w:p>
        </w:tc>
      </w:tr>
      <w:tr>
        <w:tc>
          <w:tcPr>
            <w:tcW w:type="dxa" w:w="2379"/>
          </w:tcPr>
          <w:p>
            <w:pPr>
              <w:spacing w:after="40" w:line="276" w:lineRule="auto"/>
            </w:pPr>
            <w:r/>
            <w:r>
              <w:rPr>
                <w:rFonts w:ascii="Times New Roman" w:hAnsi="Times New Roman" w:eastAsia="宋体"/>
                <w:b w:val="0"/>
                <w:i w:val="0"/>
                <w:color w:val="1F2937"/>
                <w:sz w:val="19"/>
              </w:rPr>
              <w:t>接触频率/结合构象</w:t>
            </w:r>
          </w:p>
        </w:tc>
        <w:tc>
          <w:tcPr>
            <w:tcW w:type="dxa" w:w="2379"/>
          </w:tcPr>
          <w:p>
            <w:pPr>
              <w:spacing w:after="40" w:line="276" w:lineRule="auto"/>
            </w:pPr>
            <w:r/>
            <w:r>
              <w:rPr>
                <w:rFonts w:ascii="Times New Roman" w:hAnsi="Times New Roman" w:eastAsia="宋体"/>
                <w:b w:val="0"/>
                <w:i w:val="0"/>
                <w:color w:val="1F2937"/>
                <w:sz w:val="19"/>
              </w:rPr>
              <w:t>候选肽和 Aβ 具有结构相容界面</w:t>
            </w:r>
          </w:p>
        </w:tc>
        <w:tc>
          <w:tcPr>
            <w:tcW w:type="dxa" w:w="2379"/>
          </w:tcPr>
          <w:p>
            <w:pPr>
              <w:spacing w:after="40" w:line="276" w:lineRule="auto"/>
            </w:pPr>
            <w:r/>
            <w:r>
              <w:rPr>
                <w:rFonts w:ascii="Times New Roman" w:hAnsi="Times New Roman" w:eastAsia="宋体"/>
                <w:b w:val="0"/>
                <w:i w:val="0"/>
                <w:color w:val="1F2937"/>
                <w:sz w:val="19"/>
              </w:rPr>
              <w:t>浓度、区室和体内暴露</w:t>
            </w:r>
          </w:p>
        </w:tc>
        <w:tc>
          <w:tcPr>
            <w:tcW w:type="dxa" w:w="2379"/>
          </w:tcPr>
          <w:p>
            <w:pPr>
              <w:spacing w:after="40" w:line="276" w:lineRule="auto"/>
            </w:pPr>
            <w:r/>
            <w:r>
              <w:rPr>
                <w:rFonts w:ascii="Times New Roman" w:hAnsi="Times New Roman" w:eastAsia="宋体"/>
                <w:b w:val="0"/>
                <w:i w:val="0"/>
                <w:color w:val="1F2937"/>
                <w:sz w:val="19"/>
              </w:rPr>
              <w:t>分子相互作用</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MM-PBSA/PMF 更有利</w:t>
            </w:r>
          </w:p>
        </w:tc>
        <w:tc>
          <w:tcPr>
            <w:tcW w:type="dxa" w:w="2379"/>
            <w:shd w:val="clear" w:color="auto" w:fill="F2F5F9"/>
          </w:tcPr>
          <w:p>
            <w:pPr>
              <w:spacing w:after="40" w:line="276" w:lineRule="auto"/>
            </w:pPr>
            <w:r/>
            <w:r>
              <w:rPr>
                <w:rFonts w:ascii="Times New Roman" w:hAnsi="Times New Roman" w:eastAsia="宋体"/>
                <w:b w:val="0"/>
                <w:i w:val="0"/>
                <w:color w:val="1F2937"/>
                <w:sz w:val="19"/>
              </w:rPr>
              <w:t>某一构象下结合热力学更有利</w:t>
            </w:r>
          </w:p>
        </w:tc>
        <w:tc>
          <w:tcPr>
            <w:tcW w:type="dxa" w:w="2379"/>
            <w:shd w:val="clear" w:color="auto" w:fill="F2F5F9"/>
          </w:tcPr>
          <w:p>
            <w:pPr>
              <w:spacing w:after="40" w:line="276" w:lineRule="auto"/>
            </w:pPr>
            <w:r/>
            <w:r>
              <w:rPr>
                <w:rFonts w:ascii="Times New Roman" w:hAnsi="Times New Roman" w:eastAsia="宋体"/>
                <w:b w:val="0"/>
                <w:i w:val="0"/>
                <w:color w:val="1F2937"/>
                <w:sz w:val="19"/>
              </w:rPr>
              <w:t>熵、力场、寡聚态和实验验证</w:t>
            </w:r>
          </w:p>
        </w:tc>
        <w:tc>
          <w:tcPr>
            <w:tcW w:type="dxa" w:w="2379"/>
            <w:shd w:val="clear" w:color="auto" w:fill="F2F5F9"/>
          </w:tcPr>
          <w:p>
            <w:pPr>
              <w:spacing w:after="40" w:line="276" w:lineRule="auto"/>
            </w:pPr>
            <w:r/>
            <w:r>
              <w:rPr>
                <w:rFonts w:ascii="Times New Roman" w:hAnsi="Times New Roman" w:eastAsia="宋体"/>
                <w:b w:val="0"/>
                <w:i w:val="0"/>
                <w:color w:val="1F2937"/>
                <w:sz w:val="19"/>
              </w:rPr>
              <w:t>计算亲和趋势</w:t>
            </w:r>
          </w:p>
        </w:tc>
      </w:tr>
      <w:tr>
        <w:tc>
          <w:tcPr>
            <w:tcW w:type="dxa" w:w="2379"/>
          </w:tcPr>
          <w:p>
            <w:pPr>
              <w:spacing w:after="40" w:line="276" w:lineRule="auto"/>
            </w:pPr>
            <w:r/>
            <w:r>
              <w:rPr>
                <w:rFonts w:ascii="Times New Roman" w:hAnsi="Times New Roman" w:eastAsia="宋体"/>
                <w:b w:val="0"/>
                <w:i w:val="0"/>
                <w:color w:val="1F2937"/>
                <w:sz w:val="19"/>
              </w:rPr>
              <w:t>β-sheet 或纤维量减少</w:t>
            </w:r>
          </w:p>
        </w:tc>
        <w:tc>
          <w:tcPr>
            <w:tcW w:type="dxa" w:w="2379"/>
          </w:tcPr>
          <w:p>
            <w:pPr>
              <w:spacing w:after="40" w:line="276" w:lineRule="auto"/>
            </w:pPr>
            <w:r/>
            <w:r>
              <w:rPr>
                <w:rFonts w:ascii="Times New Roman" w:hAnsi="Times New Roman" w:eastAsia="宋体"/>
                <w:b w:val="0"/>
                <w:i w:val="0"/>
                <w:color w:val="1F2937"/>
                <w:sz w:val="19"/>
              </w:rPr>
              <w:t>可能抑制某条聚集路径</w:t>
            </w:r>
          </w:p>
        </w:tc>
        <w:tc>
          <w:tcPr>
            <w:tcW w:type="dxa" w:w="2379"/>
          </w:tcPr>
          <w:p>
            <w:pPr>
              <w:spacing w:after="40" w:line="276" w:lineRule="auto"/>
            </w:pPr>
            <w:r/>
            <w:r>
              <w:rPr>
                <w:rFonts w:ascii="Times New Roman" w:hAnsi="Times New Roman" w:eastAsia="宋体"/>
                <w:b w:val="0"/>
                <w:i w:val="0"/>
                <w:color w:val="1F2937"/>
                <w:sz w:val="19"/>
              </w:rPr>
              <w:t>寡聚体毒性和替代路径</w:t>
            </w:r>
          </w:p>
        </w:tc>
        <w:tc>
          <w:tcPr>
            <w:tcW w:type="dxa" w:w="2379"/>
          </w:tcPr>
          <w:p>
            <w:pPr>
              <w:spacing w:after="40" w:line="276" w:lineRule="auto"/>
            </w:pPr>
            <w:r/>
            <w:r>
              <w:rPr>
                <w:rFonts w:ascii="Times New Roman" w:hAnsi="Times New Roman" w:eastAsia="宋体"/>
                <w:b w:val="0"/>
                <w:i w:val="0"/>
                <w:color w:val="1F2937"/>
                <w:sz w:val="19"/>
              </w:rPr>
              <w:t>潜在保护或路径重定向</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有毒寡聚体比例上升/驻留变长</w:t>
            </w:r>
          </w:p>
        </w:tc>
        <w:tc>
          <w:tcPr>
            <w:tcW w:type="dxa" w:w="2379"/>
            <w:shd w:val="clear" w:color="auto" w:fill="F2F5F9"/>
          </w:tcPr>
          <w:p>
            <w:pPr>
              <w:spacing w:after="40" w:line="276" w:lineRule="auto"/>
            </w:pPr>
            <w:r/>
            <w:r>
              <w:rPr>
                <w:rFonts w:ascii="Times New Roman" w:hAnsi="Times New Roman" w:eastAsia="宋体"/>
                <w:b w:val="0"/>
                <w:i w:val="0"/>
                <w:color w:val="1F2937"/>
                <w:sz w:val="19"/>
              </w:rPr>
              <w:t>可能把聚集停留在毒性中间态</w:t>
            </w:r>
          </w:p>
        </w:tc>
        <w:tc>
          <w:tcPr>
            <w:tcW w:type="dxa" w:w="2379"/>
            <w:shd w:val="clear" w:color="auto" w:fill="F2F5F9"/>
          </w:tcPr>
          <w:p>
            <w:pPr>
              <w:spacing w:after="40" w:line="276" w:lineRule="auto"/>
            </w:pPr>
            <w:r/>
            <w:r>
              <w:rPr>
                <w:rFonts w:ascii="Times New Roman" w:hAnsi="Times New Roman" w:eastAsia="宋体"/>
                <w:b w:val="0"/>
                <w:i w:val="0"/>
                <w:color w:val="1F2937"/>
                <w:sz w:val="19"/>
              </w:rPr>
              <w:t>细胞毒性和体内暴露</w:t>
            </w:r>
          </w:p>
        </w:tc>
        <w:tc>
          <w:tcPr>
            <w:tcW w:type="dxa" w:w="2379"/>
            <w:shd w:val="clear" w:color="auto" w:fill="F2F5F9"/>
          </w:tcPr>
          <w:p>
            <w:pPr>
              <w:spacing w:after="40" w:line="276" w:lineRule="auto"/>
            </w:pPr>
            <w:r/>
            <w:r>
              <w:rPr>
                <w:rFonts w:ascii="Times New Roman" w:hAnsi="Times New Roman" w:eastAsia="宋体"/>
                <w:b w:val="0"/>
                <w:i w:val="0"/>
                <w:color w:val="1F2937"/>
                <w:sz w:val="19"/>
              </w:rPr>
              <w:t>风险样机制线索</w:t>
            </w:r>
          </w:p>
        </w:tc>
      </w:tr>
      <w:tr>
        <w:tc>
          <w:tcPr>
            <w:tcW w:type="dxa" w:w="2379"/>
          </w:tcPr>
          <w:p>
            <w:pPr>
              <w:spacing w:after="40" w:line="276" w:lineRule="auto"/>
            </w:pPr>
            <w:r/>
            <w:r>
              <w:rPr>
                <w:rFonts w:ascii="Times New Roman" w:hAnsi="Times New Roman" w:eastAsia="宋体"/>
                <w:b w:val="0"/>
                <w:i w:val="0"/>
                <w:color w:val="1F2937"/>
                <w:sz w:val="19"/>
              </w:rPr>
              <w:t>膜泄漏、ROS、微胶质炎症上升</w:t>
            </w:r>
          </w:p>
        </w:tc>
        <w:tc>
          <w:tcPr>
            <w:tcW w:type="dxa" w:w="2379"/>
          </w:tcPr>
          <w:p>
            <w:pPr>
              <w:spacing w:after="40" w:line="276" w:lineRule="auto"/>
            </w:pPr>
            <w:r/>
            <w:r>
              <w:rPr>
                <w:rFonts w:ascii="Times New Roman" w:hAnsi="Times New Roman" w:eastAsia="宋体"/>
                <w:b w:val="0"/>
                <w:i w:val="0"/>
                <w:color w:val="1F2937"/>
                <w:sz w:val="19"/>
              </w:rPr>
              <w:t>更接近神经毒性路径</w:t>
            </w:r>
          </w:p>
        </w:tc>
        <w:tc>
          <w:tcPr>
            <w:tcW w:type="dxa" w:w="2379"/>
          </w:tcPr>
          <w:p>
            <w:pPr>
              <w:spacing w:after="40" w:line="276" w:lineRule="auto"/>
            </w:pPr>
            <w:r/>
            <w:r>
              <w:rPr>
                <w:rFonts w:ascii="Times New Roman" w:hAnsi="Times New Roman" w:eastAsia="宋体"/>
                <w:b w:val="0"/>
                <w:i w:val="0"/>
                <w:color w:val="1F2937"/>
                <w:sz w:val="19"/>
              </w:rPr>
              <w:t>细胞和动物干预</w:t>
            </w:r>
          </w:p>
        </w:tc>
        <w:tc>
          <w:tcPr>
            <w:tcW w:type="dxa" w:w="2379"/>
          </w:tcPr>
          <w:p>
            <w:pPr>
              <w:spacing w:after="40" w:line="276" w:lineRule="auto"/>
            </w:pPr>
            <w:r/>
            <w:r>
              <w:rPr>
                <w:rFonts w:ascii="Times New Roman" w:hAnsi="Times New Roman" w:eastAsia="宋体"/>
                <w:b w:val="0"/>
                <w:i w:val="0"/>
                <w:color w:val="1F2937"/>
                <w:sz w:val="19"/>
              </w:rPr>
              <w:t>病理方向证据增强</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阻断肽/敲除候选后表型逆转</w:t>
            </w:r>
          </w:p>
        </w:tc>
        <w:tc>
          <w:tcPr>
            <w:tcW w:type="dxa" w:w="2379"/>
            <w:shd w:val="clear" w:color="auto" w:fill="F2F5F9"/>
          </w:tcPr>
          <w:p>
            <w:pPr>
              <w:spacing w:after="40" w:line="276" w:lineRule="auto"/>
            </w:pPr>
            <w:r/>
            <w:r>
              <w:rPr>
                <w:rFonts w:ascii="Times New Roman" w:hAnsi="Times New Roman" w:eastAsia="宋体"/>
                <w:b w:val="0"/>
                <w:i w:val="0"/>
                <w:color w:val="1F2937"/>
                <w:sz w:val="19"/>
              </w:rPr>
              <w:t>因果性最强的一类支持</w:t>
            </w:r>
          </w:p>
        </w:tc>
        <w:tc>
          <w:tcPr>
            <w:tcW w:type="dxa" w:w="2379"/>
            <w:shd w:val="clear" w:color="auto" w:fill="F2F5F9"/>
          </w:tcPr>
          <w:p>
            <w:pPr>
              <w:spacing w:after="40" w:line="276" w:lineRule="auto"/>
            </w:pPr>
            <w:r/>
            <w:r>
              <w:rPr>
                <w:rFonts w:ascii="Times New Roman" w:hAnsi="Times New Roman" w:eastAsia="宋体"/>
                <w:b w:val="0"/>
                <w:i w:val="0"/>
                <w:color w:val="1F2937"/>
                <w:sz w:val="19"/>
              </w:rPr>
              <w:t>独立队列与剂量关系</w:t>
            </w:r>
          </w:p>
        </w:tc>
        <w:tc>
          <w:tcPr>
            <w:tcW w:type="dxa" w:w="2379"/>
            <w:shd w:val="clear" w:color="auto" w:fill="F2F5F9"/>
          </w:tcPr>
          <w:p>
            <w:pPr>
              <w:spacing w:after="40" w:line="276" w:lineRule="auto"/>
            </w:pPr>
            <w:r/>
            <w:r>
              <w:rPr>
                <w:rFonts w:ascii="Times New Roman" w:hAnsi="Times New Roman" w:eastAsia="宋体"/>
                <w:b w:val="0"/>
                <w:i w:val="0"/>
                <w:color w:val="1F2937"/>
                <w:sz w:val="19"/>
              </w:rPr>
              <w:t>可讨论因果</w:t>
            </w:r>
          </w:p>
        </w:tc>
      </w:tr>
    </w:tbl>
    <w:p>
      <w:pPr>
        <w:spacing w:after="40"/>
      </w:pPr>
    </w:p>
    <w:p>
      <w:pPr>
        <w:spacing w:before="0" w:after="120" w:line="336" w:lineRule="auto"/>
        <w:ind w:firstLine="440"/>
      </w:pPr>
      <w:r>
        <w:rPr>
          <w:rFonts w:ascii="Times New Roman" w:hAnsi="Times New Roman" w:eastAsia="宋体"/>
          <w:b w:val="0"/>
          <w:i w:val="0"/>
          <w:color w:val="1F2937"/>
          <w:sz w:val="22"/>
        </w:rPr>
        <w:t>所以，如果候选肽来自肠道微生物组，先做 Aβ 对接并不能证明它与论文主线有关。更合适的顺序是：先确认它是 AD 差异肽，再确认来源菌和暴露，再做菌膜/LPS/炎症方向的功能模拟；只有排名靠前且有跨区室依据的肽，才追加 Aβ 或 BBB 模拟。</w:t>
      </w:r>
    </w:p>
    <w:p>
      <w:pPr>
        <w:spacing w:before="240" w:after="100" w:line="288" w:lineRule="auto"/>
      </w:pPr>
      <w:r>
        <w:rPr>
          <w:rFonts w:ascii="Times New Roman" w:hAnsi="Times New Roman" w:eastAsia="微软雅黑"/>
          <w:b/>
          <w:i w:val="0"/>
          <w:color w:val="10305A"/>
          <w:sz w:val="27"/>
        </w:rPr>
        <w:t>4.1 病理样与抑制样的判别实验量</w:t>
      </w:r>
    </w:p>
    <w:p>
      <w:pPr>
        <w:spacing w:before="160" w:after="80" w:line="324" w:lineRule="auto"/>
      </w:pPr>
      <w:r>
        <w:rPr>
          <w:rFonts w:ascii="Times New Roman" w:hAnsi="Times New Roman" w:eastAsia="微软雅黑"/>
          <w:b/>
          <w:i w:val="0"/>
          <w:color w:val="10305A"/>
          <w:sz w:val="21"/>
        </w:rPr>
        <w:t>表 7　如何区分“保护性抑制剂”和“病理风险样肽”</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层面</w:t>
            </w:r>
          </w:p>
        </w:tc>
        <w:tc>
          <w:tcPr>
            <w:tcW w:type="dxa" w:w="2379"/>
            <w:shd w:val="clear" w:color="auto" w:fill="10305A"/>
          </w:tcPr>
          <w:p>
            <w:pPr>
              <w:jc w:val="center"/>
            </w:pPr>
            <w:r/>
            <w:r>
              <w:rPr>
                <w:rFonts w:ascii="Times New Roman" w:hAnsi="Times New Roman" w:eastAsia="微软雅黑"/>
                <w:b/>
                <w:i w:val="0"/>
                <w:color w:val="FFFFFF"/>
                <w:sz w:val="19"/>
              </w:rPr>
              <w:t>保护性/抑制样</w:t>
            </w:r>
          </w:p>
        </w:tc>
        <w:tc>
          <w:tcPr>
            <w:tcW w:type="dxa" w:w="2379"/>
            <w:shd w:val="clear" w:color="auto" w:fill="10305A"/>
          </w:tcPr>
          <w:p>
            <w:pPr>
              <w:jc w:val="center"/>
            </w:pPr>
            <w:r/>
            <w:r>
              <w:rPr>
                <w:rFonts w:ascii="Times New Roman" w:hAnsi="Times New Roman" w:eastAsia="微软雅黑"/>
                <w:b/>
                <w:i w:val="0"/>
                <w:color w:val="FFFFFF"/>
                <w:sz w:val="19"/>
              </w:rPr>
              <w:t>病理风险样</w:t>
            </w:r>
          </w:p>
        </w:tc>
        <w:tc>
          <w:tcPr>
            <w:tcW w:type="dxa" w:w="2379"/>
            <w:shd w:val="clear" w:color="auto" w:fill="10305A"/>
          </w:tcPr>
          <w:p>
            <w:pPr>
              <w:jc w:val="center"/>
            </w:pPr>
            <w:r/>
            <w:r>
              <w:rPr>
                <w:rFonts w:ascii="Times New Roman" w:hAnsi="Times New Roman" w:eastAsia="微软雅黑"/>
                <w:b/>
                <w:i w:val="0"/>
                <w:color w:val="FFFFFF"/>
                <w:sz w:val="19"/>
              </w:rPr>
              <w:t>计算或实验读数</w:t>
            </w:r>
          </w:p>
        </w:tc>
      </w:tr>
      <w:tr>
        <w:tc>
          <w:tcPr>
            <w:tcW w:type="dxa" w:w="2379"/>
          </w:tcPr>
          <w:p>
            <w:pPr>
              <w:spacing w:after="40" w:line="276" w:lineRule="auto"/>
            </w:pPr>
            <w:r/>
            <w:r>
              <w:rPr>
                <w:rFonts w:ascii="Times New Roman" w:hAnsi="Times New Roman" w:eastAsia="宋体"/>
                <w:b w:val="0"/>
                <w:i w:val="0"/>
                <w:color w:val="1F2937"/>
                <w:sz w:val="19"/>
              </w:rPr>
              <w:t>Aβ 聚集</w:t>
            </w:r>
          </w:p>
        </w:tc>
        <w:tc>
          <w:tcPr>
            <w:tcW w:type="dxa" w:w="2379"/>
          </w:tcPr>
          <w:p>
            <w:pPr>
              <w:spacing w:after="40" w:line="276" w:lineRule="auto"/>
            </w:pPr>
            <w:r/>
            <w:r>
              <w:rPr>
                <w:rFonts w:ascii="Times New Roman" w:hAnsi="Times New Roman" w:eastAsia="宋体"/>
                <w:b w:val="0"/>
                <w:i w:val="0"/>
                <w:color w:val="1F2937"/>
                <w:sz w:val="19"/>
              </w:rPr>
              <w:t>减少有毒寡聚体，形成无毒 off-pathway 或促进清除</w:t>
            </w:r>
          </w:p>
        </w:tc>
        <w:tc>
          <w:tcPr>
            <w:tcW w:type="dxa" w:w="2379"/>
          </w:tcPr>
          <w:p>
            <w:pPr>
              <w:spacing w:after="40" w:line="276" w:lineRule="auto"/>
            </w:pPr>
            <w:r/>
            <w:r>
              <w:rPr>
                <w:rFonts w:ascii="Times New Roman" w:hAnsi="Times New Roman" w:eastAsia="宋体"/>
                <w:b w:val="0"/>
                <w:i w:val="0"/>
                <w:color w:val="1F2937"/>
                <w:sz w:val="19"/>
              </w:rPr>
              <w:t>稳定有毒寡聚体、促进膜活性聚集或增加成核</w:t>
            </w:r>
          </w:p>
        </w:tc>
        <w:tc>
          <w:tcPr>
            <w:tcW w:type="dxa" w:w="2379"/>
          </w:tcPr>
          <w:p>
            <w:pPr>
              <w:spacing w:after="40" w:line="276" w:lineRule="auto"/>
            </w:pPr>
            <w:r/>
            <w:r>
              <w:rPr>
                <w:rFonts w:ascii="Times New Roman" w:hAnsi="Times New Roman" w:eastAsia="宋体"/>
                <w:b w:val="0"/>
                <w:i w:val="0"/>
                <w:color w:val="1F2937"/>
                <w:sz w:val="19"/>
              </w:rPr>
              <w:t>寡聚态分布、β-sheet、PMF、ThT/毒性验证</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炎症</w:t>
            </w:r>
          </w:p>
        </w:tc>
        <w:tc>
          <w:tcPr>
            <w:tcW w:type="dxa" w:w="2379"/>
            <w:shd w:val="clear" w:color="auto" w:fill="F2F5F9"/>
          </w:tcPr>
          <w:p>
            <w:pPr>
              <w:spacing w:after="40" w:line="276" w:lineRule="auto"/>
            </w:pPr>
            <w:r/>
            <w:r>
              <w:rPr>
                <w:rFonts w:ascii="Times New Roman" w:hAnsi="Times New Roman" w:eastAsia="宋体"/>
                <w:b w:val="0"/>
                <w:i w:val="0"/>
                <w:color w:val="1F2937"/>
                <w:sz w:val="19"/>
              </w:rPr>
              <w:t>降低 TLR4/FPR2/NLRP3/NF-kB 和 IL-6/TNF</w:t>
            </w:r>
          </w:p>
        </w:tc>
        <w:tc>
          <w:tcPr>
            <w:tcW w:type="dxa" w:w="2379"/>
            <w:shd w:val="clear" w:color="auto" w:fill="F2F5F9"/>
          </w:tcPr>
          <w:p>
            <w:pPr>
              <w:spacing w:after="40" w:line="276" w:lineRule="auto"/>
            </w:pPr>
            <w:r/>
            <w:r>
              <w:rPr>
                <w:rFonts w:ascii="Times New Roman" w:hAnsi="Times New Roman" w:eastAsia="宋体"/>
                <w:b w:val="0"/>
                <w:i w:val="0"/>
                <w:color w:val="1F2937"/>
                <w:sz w:val="19"/>
              </w:rPr>
              <w:t>促进受体聚集、ROS、IL-1β/IL-6/TNF</w:t>
            </w:r>
          </w:p>
        </w:tc>
        <w:tc>
          <w:tcPr>
            <w:tcW w:type="dxa" w:w="2379"/>
            <w:shd w:val="clear" w:color="auto" w:fill="F2F5F9"/>
          </w:tcPr>
          <w:p>
            <w:pPr>
              <w:spacing w:after="40" w:line="276" w:lineRule="auto"/>
            </w:pPr>
            <w:r/>
            <w:r>
              <w:rPr>
                <w:rFonts w:ascii="Times New Roman" w:hAnsi="Times New Roman" w:eastAsia="宋体"/>
                <w:b w:val="0"/>
                <w:i w:val="0"/>
                <w:color w:val="1F2937"/>
                <w:sz w:val="19"/>
              </w:rPr>
              <w:t>受体界面、信号 ODE、细胞因子</w:t>
            </w:r>
          </w:p>
        </w:tc>
      </w:tr>
      <w:tr>
        <w:tc>
          <w:tcPr>
            <w:tcW w:type="dxa" w:w="2379"/>
          </w:tcPr>
          <w:p>
            <w:pPr>
              <w:spacing w:after="40" w:line="276" w:lineRule="auto"/>
            </w:pPr>
            <w:r/>
            <w:r>
              <w:rPr>
                <w:rFonts w:ascii="Times New Roman" w:hAnsi="Times New Roman" w:eastAsia="宋体"/>
                <w:b w:val="0"/>
                <w:i w:val="0"/>
                <w:color w:val="1F2937"/>
                <w:sz w:val="19"/>
              </w:rPr>
              <w:t>肠道菌群</w:t>
            </w:r>
          </w:p>
        </w:tc>
        <w:tc>
          <w:tcPr>
            <w:tcW w:type="dxa" w:w="2379"/>
          </w:tcPr>
          <w:p>
            <w:pPr>
              <w:spacing w:after="40" w:line="276" w:lineRule="auto"/>
            </w:pPr>
            <w:r/>
            <w:r>
              <w:rPr>
                <w:rFonts w:ascii="Times New Roman" w:hAnsi="Times New Roman" w:eastAsia="宋体"/>
                <w:b w:val="0"/>
                <w:i w:val="0"/>
                <w:color w:val="1F2937"/>
                <w:sz w:val="19"/>
              </w:rPr>
              <w:t>抑制高风险菌而保留有益菌，恢复屏障</w:t>
            </w:r>
          </w:p>
        </w:tc>
        <w:tc>
          <w:tcPr>
            <w:tcW w:type="dxa" w:w="2379"/>
          </w:tcPr>
          <w:p>
            <w:pPr>
              <w:spacing w:after="40" w:line="276" w:lineRule="auto"/>
            </w:pPr>
            <w:r/>
            <w:r>
              <w:rPr>
                <w:rFonts w:ascii="Times New Roman" w:hAnsi="Times New Roman" w:eastAsia="宋体"/>
                <w:b w:val="0"/>
                <w:i w:val="0"/>
                <w:color w:val="1F2937"/>
                <w:sz w:val="19"/>
              </w:rPr>
              <w:t>广谱破坏共生菌，增加 LPS 或肠漏</w:t>
            </w:r>
          </w:p>
        </w:tc>
        <w:tc>
          <w:tcPr>
            <w:tcW w:type="dxa" w:w="2379"/>
          </w:tcPr>
          <w:p>
            <w:pPr>
              <w:spacing w:after="40" w:line="276" w:lineRule="auto"/>
            </w:pPr>
            <w:r/>
            <w:r>
              <w:rPr>
                <w:rFonts w:ascii="Times New Roman" w:hAnsi="Times New Roman" w:eastAsia="宋体"/>
                <w:b w:val="0"/>
                <w:i w:val="0"/>
                <w:color w:val="1F2937"/>
                <w:sz w:val="19"/>
              </w:rPr>
              <w:t>膜选择性、生态模型、SCFA/LPS</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BBB</w:t>
            </w:r>
          </w:p>
        </w:tc>
        <w:tc>
          <w:tcPr>
            <w:tcW w:type="dxa" w:w="2379"/>
            <w:shd w:val="clear" w:color="auto" w:fill="F2F5F9"/>
          </w:tcPr>
          <w:p>
            <w:pPr>
              <w:spacing w:after="40" w:line="276" w:lineRule="auto"/>
            </w:pPr>
            <w:r/>
            <w:r>
              <w:rPr>
                <w:rFonts w:ascii="Times New Roman" w:hAnsi="Times New Roman" w:eastAsia="宋体"/>
                <w:b w:val="0"/>
                <w:i w:val="0"/>
                <w:color w:val="1F2937"/>
                <w:sz w:val="19"/>
              </w:rPr>
              <w:t>促进 Aβ 外排或降低屏障炎症</w:t>
            </w:r>
          </w:p>
        </w:tc>
        <w:tc>
          <w:tcPr>
            <w:tcW w:type="dxa" w:w="2379"/>
            <w:shd w:val="clear" w:color="auto" w:fill="F2F5F9"/>
          </w:tcPr>
          <w:p>
            <w:pPr>
              <w:spacing w:after="40" w:line="276" w:lineRule="auto"/>
            </w:pPr>
            <w:r/>
            <w:r>
              <w:rPr>
                <w:rFonts w:ascii="Times New Roman" w:hAnsi="Times New Roman" w:eastAsia="宋体"/>
                <w:b w:val="0"/>
                <w:i w:val="0"/>
                <w:color w:val="1F2937"/>
                <w:sz w:val="19"/>
              </w:rPr>
              <w:t>破坏紧密连接或增加有害通量</w:t>
            </w:r>
          </w:p>
        </w:tc>
        <w:tc>
          <w:tcPr>
            <w:tcW w:type="dxa" w:w="2379"/>
            <w:shd w:val="clear" w:color="auto" w:fill="F2F5F9"/>
          </w:tcPr>
          <w:p>
            <w:pPr>
              <w:spacing w:after="40" w:line="276" w:lineRule="auto"/>
            </w:pPr>
            <w:r/>
            <w:r>
              <w:rPr>
                <w:rFonts w:ascii="Times New Roman" w:hAnsi="Times New Roman" w:eastAsia="宋体"/>
                <w:b w:val="0"/>
                <w:i w:val="0"/>
                <w:color w:val="1F2937"/>
                <w:sz w:val="19"/>
              </w:rPr>
              <w:t>PMF、Papp、claudin/occludin、转运模型</w:t>
            </w:r>
          </w:p>
        </w:tc>
      </w:tr>
    </w:tbl>
    <w:p>
      <w:pPr>
        <w:spacing w:after="40"/>
      </w:pPr>
    </w:p>
    <w:p>
      <w:pPr>
        <w:spacing w:before="320" w:after="160" w:line="288" w:lineRule="auto"/>
      </w:pPr>
      <w:r>
        <w:rPr>
          <w:rFonts w:ascii="Times New Roman" w:hAnsi="Times New Roman" w:eastAsia="微软雅黑"/>
          <w:b/>
          <w:i w:val="0"/>
          <w:color w:val="10305A"/>
          <w:sz w:val="34"/>
        </w:rPr>
        <w:t>五、与论文题目直接衔接的完整计算流程</w:t>
      </w:r>
    </w:p>
    <w:p>
      <w:pPr>
        <w:spacing w:before="240" w:after="100" w:line="288" w:lineRule="auto"/>
      </w:pPr>
      <w:r>
        <w:rPr>
          <w:rFonts w:ascii="Times New Roman" w:hAnsi="Times New Roman" w:eastAsia="微软雅黑"/>
          <w:b/>
          <w:i w:val="0"/>
          <w:color w:val="10305A"/>
          <w:sz w:val="27"/>
        </w:rPr>
        <w:t>5.1 输入端：476 样本和可追溯短肽库</w:t>
      </w:r>
    </w:p>
    <w:p>
      <w:pPr>
        <w:spacing w:before="0" w:after="120" w:line="336" w:lineRule="auto"/>
        <w:ind w:firstLine="440"/>
      </w:pPr>
      <w:r>
        <w:rPr>
          <w:rFonts w:ascii="Times New Roman" w:hAnsi="Times New Roman" w:eastAsia="宋体"/>
          <w:b w:val="0"/>
          <w:i w:val="0"/>
          <w:color w:val="1F2937"/>
          <w:sz w:val="22"/>
        </w:rPr>
        <w:t>每个候选肽必须保留样本来源、contig、ORF、MAG、物种或属、序列、模型概率、序列簇、样本检出情况和丰度定量。没有这些字段，就不能把一个“预测出来的序列”与 AD 组或健康组连接起来。宏基因组的基本流程包括 fastp 质控、Bowtie2 去宿主、MEGAHIT 主组装、metaSPAdes 子集复核、QUAST 评估、MetaBAT2/VAMB 分箱、CheckM 质量控制、Prodigal ORF 预测和 CD-HIT 去冗余。[27，28，29，30，31，32，33，34，35，36]</w:t>
      </w:r>
    </w:p>
    <w:p>
      <w:pPr>
        <w:spacing w:before="160" w:after="80" w:line="324" w:lineRule="auto"/>
      </w:pPr>
      <w:r>
        <w:rPr>
          <w:rFonts w:ascii="Times New Roman" w:hAnsi="Times New Roman" w:eastAsia="微软雅黑"/>
          <w:b/>
          <w:i w:val="0"/>
          <w:color w:val="10305A"/>
          <w:sz w:val="21"/>
        </w:rPr>
        <w:t>表 8　短肽库构建的可复现门槛</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步骤</w:t>
            </w:r>
          </w:p>
        </w:tc>
        <w:tc>
          <w:tcPr>
            <w:tcW w:type="dxa" w:w="2379"/>
            <w:shd w:val="clear" w:color="auto" w:fill="10305A"/>
          </w:tcPr>
          <w:p>
            <w:pPr>
              <w:jc w:val="center"/>
            </w:pPr>
            <w:r/>
            <w:r>
              <w:rPr>
                <w:rFonts w:ascii="Times New Roman" w:hAnsi="Times New Roman" w:eastAsia="微软雅黑"/>
                <w:b/>
                <w:i w:val="0"/>
                <w:color w:val="FFFFFF"/>
                <w:sz w:val="19"/>
              </w:rPr>
              <w:t>推荐设置</w:t>
            </w:r>
          </w:p>
        </w:tc>
        <w:tc>
          <w:tcPr>
            <w:tcW w:type="dxa" w:w="2379"/>
            <w:shd w:val="clear" w:color="auto" w:fill="10305A"/>
          </w:tcPr>
          <w:p>
            <w:pPr>
              <w:jc w:val="center"/>
            </w:pPr>
            <w:r/>
            <w:r>
              <w:rPr>
                <w:rFonts w:ascii="Times New Roman" w:hAnsi="Times New Roman" w:eastAsia="微软雅黑"/>
                <w:b/>
                <w:i w:val="0"/>
                <w:color w:val="FFFFFF"/>
                <w:sz w:val="19"/>
              </w:rPr>
              <w:t>保留的审计字段</w:t>
            </w:r>
          </w:p>
        </w:tc>
        <w:tc>
          <w:tcPr>
            <w:tcW w:type="dxa" w:w="2379"/>
            <w:shd w:val="clear" w:color="auto" w:fill="10305A"/>
          </w:tcPr>
          <w:p>
            <w:pPr>
              <w:jc w:val="center"/>
            </w:pPr>
            <w:r/>
            <w:r>
              <w:rPr>
                <w:rFonts w:ascii="Times New Roman" w:hAnsi="Times New Roman" w:eastAsia="微软雅黑"/>
                <w:b/>
                <w:i w:val="0"/>
                <w:color w:val="FFFFFF"/>
                <w:sz w:val="19"/>
              </w:rPr>
              <w:t>为什么与机制相关</w:t>
            </w:r>
          </w:p>
        </w:tc>
      </w:tr>
      <w:tr>
        <w:tc>
          <w:tcPr>
            <w:tcW w:type="dxa" w:w="2379"/>
          </w:tcPr>
          <w:p>
            <w:pPr>
              <w:spacing w:after="40" w:line="276" w:lineRule="auto"/>
            </w:pPr>
            <w:r/>
            <w:r>
              <w:rPr>
                <w:rFonts w:ascii="Times New Roman" w:hAnsi="Times New Roman" w:eastAsia="宋体"/>
                <w:b w:val="0"/>
                <w:i w:val="0"/>
                <w:color w:val="1F2937"/>
                <w:sz w:val="19"/>
              </w:rPr>
              <w:t>质控</w:t>
            </w:r>
          </w:p>
        </w:tc>
        <w:tc>
          <w:tcPr>
            <w:tcW w:type="dxa" w:w="2379"/>
          </w:tcPr>
          <w:p>
            <w:pPr>
              <w:spacing w:after="40" w:line="276" w:lineRule="auto"/>
            </w:pPr>
            <w:r/>
            <w:r>
              <w:rPr>
                <w:rFonts w:ascii="Times New Roman" w:hAnsi="Times New Roman" w:eastAsia="宋体"/>
                <w:b w:val="0"/>
                <w:i w:val="0"/>
                <w:color w:val="1F2937"/>
                <w:sz w:val="19"/>
              </w:rPr>
              <w:t>Q20 或 Q30 门槛、长度下限、接头和 N 过滤</w:t>
            </w:r>
          </w:p>
        </w:tc>
        <w:tc>
          <w:tcPr>
            <w:tcW w:type="dxa" w:w="2379"/>
          </w:tcPr>
          <w:p>
            <w:pPr>
              <w:spacing w:after="40" w:line="276" w:lineRule="auto"/>
            </w:pPr>
            <w:r/>
            <w:r>
              <w:rPr>
                <w:rFonts w:ascii="Times New Roman" w:hAnsi="Times New Roman" w:eastAsia="宋体"/>
                <w:b w:val="0"/>
                <w:i w:val="0"/>
                <w:color w:val="1F2937"/>
                <w:sz w:val="19"/>
              </w:rPr>
              <w:t>原始/保留 reads、Q30、GC、批次</w:t>
            </w:r>
          </w:p>
        </w:tc>
        <w:tc>
          <w:tcPr>
            <w:tcW w:type="dxa" w:w="2379"/>
          </w:tcPr>
          <w:p>
            <w:pPr>
              <w:spacing w:after="40" w:line="276" w:lineRule="auto"/>
            </w:pPr>
            <w:r/>
            <w:r>
              <w:rPr>
                <w:rFonts w:ascii="Times New Roman" w:hAnsi="Times New Roman" w:eastAsia="宋体"/>
                <w:b w:val="0"/>
                <w:i w:val="0"/>
                <w:color w:val="1F2937"/>
                <w:sz w:val="19"/>
              </w:rPr>
              <w:t>低质量会产生假 ORF</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去宿主</w:t>
            </w:r>
          </w:p>
        </w:tc>
        <w:tc>
          <w:tcPr>
            <w:tcW w:type="dxa" w:w="2379"/>
            <w:shd w:val="clear" w:color="auto" w:fill="F2F5F9"/>
          </w:tcPr>
          <w:p>
            <w:pPr>
              <w:spacing w:after="40" w:line="276" w:lineRule="auto"/>
            </w:pPr>
            <w:r/>
            <w:r>
              <w:rPr>
                <w:rFonts w:ascii="Times New Roman" w:hAnsi="Times New Roman" w:eastAsia="宋体"/>
                <w:b w:val="0"/>
                <w:i w:val="0"/>
                <w:color w:val="1F2937"/>
                <w:sz w:val="19"/>
              </w:rPr>
              <w:t>GRCh38 + Bowtie2 very-sensitive</w:t>
            </w:r>
          </w:p>
        </w:tc>
        <w:tc>
          <w:tcPr>
            <w:tcW w:type="dxa" w:w="2379"/>
            <w:shd w:val="clear" w:color="auto" w:fill="F2F5F9"/>
          </w:tcPr>
          <w:p>
            <w:pPr>
              <w:spacing w:after="40" w:line="276" w:lineRule="auto"/>
            </w:pPr>
            <w:r/>
            <w:r>
              <w:rPr>
                <w:rFonts w:ascii="Times New Roman" w:hAnsi="Times New Roman" w:eastAsia="宋体"/>
                <w:b w:val="0"/>
                <w:i w:val="0"/>
                <w:color w:val="1F2937"/>
                <w:sz w:val="19"/>
              </w:rPr>
              <w:t>宿主比例、去除后 reads</w:t>
            </w:r>
          </w:p>
        </w:tc>
        <w:tc>
          <w:tcPr>
            <w:tcW w:type="dxa" w:w="2379"/>
            <w:shd w:val="clear" w:color="auto" w:fill="F2F5F9"/>
          </w:tcPr>
          <w:p>
            <w:pPr>
              <w:spacing w:after="40" w:line="276" w:lineRule="auto"/>
            </w:pPr>
            <w:r/>
            <w:r>
              <w:rPr>
                <w:rFonts w:ascii="Times New Roman" w:hAnsi="Times New Roman" w:eastAsia="宋体"/>
                <w:b w:val="0"/>
                <w:i w:val="0"/>
                <w:color w:val="1F2937"/>
                <w:sz w:val="19"/>
              </w:rPr>
              <w:t>避免把人源肽错当微生物肽</w:t>
            </w:r>
          </w:p>
        </w:tc>
      </w:tr>
      <w:tr>
        <w:tc>
          <w:tcPr>
            <w:tcW w:type="dxa" w:w="2379"/>
          </w:tcPr>
          <w:p>
            <w:pPr>
              <w:spacing w:after="40" w:line="276" w:lineRule="auto"/>
            </w:pPr>
            <w:r/>
            <w:r>
              <w:rPr>
                <w:rFonts w:ascii="Times New Roman" w:hAnsi="Times New Roman" w:eastAsia="宋体"/>
                <w:b w:val="0"/>
                <w:i w:val="0"/>
                <w:color w:val="1F2937"/>
                <w:sz w:val="19"/>
              </w:rPr>
              <w:t>组装</w:t>
            </w:r>
          </w:p>
        </w:tc>
        <w:tc>
          <w:tcPr>
            <w:tcW w:type="dxa" w:w="2379"/>
          </w:tcPr>
          <w:p>
            <w:pPr>
              <w:spacing w:after="40" w:line="276" w:lineRule="auto"/>
            </w:pPr>
            <w:r/>
            <w:r>
              <w:rPr>
                <w:rFonts w:ascii="Times New Roman" w:hAnsi="Times New Roman" w:eastAsia="宋体"/>
                <w:b w:val="0"/>
                <w:i w:val="0"/>
                <w:color w:val="1F2937"/>
                <w:sz w:val="19"/>
              </w:rPr>
              <w:t>MEGAHIT 主组装；10% 样本 metaSPAdes 复核</w:t>
            </w:r>
          </w:p>
        </w:tc>
        <w:tc>
          <w:tcPr>
            <w:tcW w:type="dxa" w:w="2379"/>
          </w:tcPr>
          <w:p>
            <w:pPr>
              <w:spacing w:after="40" w:line="276" w:lineRule="auto"/>
            </w:pPr>
            <w:r/>
            <w:r>
              <w:rPr>
                <w:rFonts w:ascii="Times New Roman" w:hAnsi="Times New Roman" w:eastAsia="宋体"/>
                <w:b w:val="0"/>
                <w:i w:val="0"/>
                <w:color w:val="1F2937"/>
                <w:sz w:val="19"/>
              </w:rPr>
              <w:t>参数、N50、contig、样本映射率</w:t>
            </w:r>
          </w:p>
        </w:tc>
        <w:tc>
          <w:tcPr>
            <w:tcW w:type="dxa" w:w="2379"/>
          </w:tcPr>
          <w:p>
            <w:pPr>
              <w:spacing w:after="40" w:line="276" w:lineRule="auto"/>
            </w:pPr>
            <w:r/>
            <w:r>
              <w:rPr>
                <w:rFonts w:ascii="Times New Roman" w:hAnsi="Times New Roman" w:eastAsia="宋体"/>
                <w:b w:val="0"/>
                <w:i w:val="0"/>
                <w:color w:val="1F2937"/>
                <w:sz w:val="19"/>
              </w:rPr>
              <w:t>ORF 的完整性决定序列可信度</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分箱</w:t>
            </w:r>
          </w:p>
        </w:tc>
        <w:tc>
          <w:tcPr>
            <w:tcW w:type="dxa" w:w="2379"/>
            <w:shd w:val="clear" w:color="auto" w:fill="F2F5F9"/>
          </w:tcPr>
          <w:p>
            <w:pPr>
              <w:spacing w:after="40" w:line="276" w:lineRule="auto"/>
            </w:pPr>
            <w:r/>
            <w:r>
              <w:rPr>
                <w:rFonts w:ascii="Times New Roman" w:hAnsi="Times New Roman" w:eastAsia="宋体"/>
                <w:b w:val="0"/>
                <w:i w:val="0"/>
                <w:color w:val="1F2937"/>
                <w:sz w:val="19"/>
              </w:rPr>
              <w:t>MetaBAT2/VAMB；CheckM 完整度 &gt;90%、污染 &lt;5% 作为高质量层</w:t>
            </w:r>
          </w:p>
        </w:tc>
        <w:tc>
          <w:tcPr>
            <w:tcW w:type="dxa" w:w="2379"/>
            <w:shd w:val="clear" w:color="auto" w:fill="F2F5F9"/>
          </w:tcPr>
          <w:p>
            <w:pPr>
              <w:spacing w:after="40" w:line="276" w:lineRule="auto"/>
            </w:pPr>
            <w:r/>
            <w:r>
              <w:rPr>
                <w:rFonts w:ascii="Times New Roman" w:hAnsi="Times New Roman" w:eastAsia="宋体"/>
                <w:b w:val="0"/>
                <w:i w:val="0"/>
                <w:color w:val="1F2937"/>
                <w:sz w:val="19"/>
              </w:rPr>
              <w:t>MAG ID、完整度、污染、GTDB-Tk 分类</w:t>
            </w:r>
          </w:p>
        </w:tc>
        <w:tc>
          <w:tcPr>
            <w:tcW w:type="dxa" w:w="2379"/>
            <w:shd w:val="clear" w:color="auto" w:fill="F2F5F9"/>
          </w:tcPr>
          <w:p>
            <w:pPr>
              <w:spacing w:after="40" w:line="276" w:lineRule="auto"/>
            </w:pPr>
            <w:r/>
            <w:r>
              <w:rPr>
                <w:rFonts w:ascii="Times New Roman" w:hAnsi="Times New Roman" w:eastAsia="宋体"/>
                <w:b w:val="0"/>
                <w:i w:val="0"/>
                <w:color w:val="1F2937"/>
                <w:sz w:val="19"/>
              </w:rPr>
              <w:t>来源菌决定生态和 LPS 解释</w:t>
            </w:r>
          </w:p>
        </w:tc>
      </w:tr>
      <w:tr>
        <w:tc>
          <w:tcPr>
            <w:tcW w:type="dxa" w:w="2379"/>
          </w:tcPr>
          <w:p>
            <w:pPr>
              <w:spacing w:after="40" w:line="276" w:lineRule="auto"/>
            </w:pPr>
            <w:r/>
            <w:r>
              <w:rPr>
                <w:rFonts w:ascii="Times New Roman" w:hAnsi="Times New Roman" w:eastAsia="宋体"/>
                <w:b w:val="0"/>
                <w:i w:val="0"/>
                <w:color w:val="1F2937"/>
                <w:sz w:val="19"/>
              </w:rPr>
              <w:t>ORF/短肽</w:t>
            </w:r>
          </w:p>
        </w:tc>
        <w:tc>
          <w:tcPr>
            <w:tcW w:type="dxa" w:w="2379"/>
          </w:tcPr>
          <w:p>
            <w:pPr>
              <w:spacing w:after="40" w:line="276" w:lineRule="auto"/>
            </w:pPr>
            <w:r/>
            <w:r>
              <w:rPr>
                <w:rFonts w:ascii="Times New Roman" w:hAnsi="Times New Roman" w:eastAsia="宋体"/>
                <w:b w:val="0"/>
                <w:i w:val="0"/>
                <w:color w:val="1F2937"/>
                <w:sz w:val="19"/>
              </w:rPr>
              <w:t>Prodigal meta；12-50 aa；去宿主同源、信号肽和跨膜假阳性</w:t>
            </w:r>
          </w:p>
        </w:tc>
        <w:tc>
          <w:tcPr>
            <w:tcW w:type="dxa" w:w="2379"/>
          </w:tcPr>
          <w:p>
            <w:pPr>
              <w:spacing w:after="40" w:line="276" w:lineRule="auto"/>
            </w:pPr>
            <w:r/>
            <w:r>
              <w:rPr>
                <w:rFonts w:ascii="Times New Roman" w:hAnsi="Times New Roman" w:eastAsia="宋体"/>
                <w:b w:val="0"/>
                <w:i w:val="0"/>
                <w:color w:val="1F2937"/>
                <w:sz w:val="19"/>
              </w:rPr>
              <w:t>ORF 坐标、序列、预测概率、过滤原因</w:t>
            </w:r>
          </w:p>
        </w:tc>
        <w:tc>
          <w:tcPr>
            <w:tcW w:type="dxa" w:w="2379"/>
          </w:tcPr>
          <w:p>
            <w:pPr>
              <w:spacing w:after="40" w:line="276" w:lineRule="auto"/>
            </w:pPr>
            <w:r/>
            <w:r>
              <w:rPr>
                <w:rFonts w:ascii="Times New Roman" w:hAnsi="Times New Roman" w:eastAsia="宋体"/>
                <w:b w:val="0"/>
                <w:i w:val="0"/>
                <w:color w:val="1F2937"/>
                <w:sz w:val="19"/>
              </w:rPr>
              <w:t>暴露、分泌和稳定性需要来源信息</w:t>
            </w:r>
          </w:p>
        </w:tc>
      </w:tr>
    </w:tbl>
    <w:p>
      <w:pPr>
        <w:spacing w:after="40"/>
      </w:pPr>
    </w:p>
    <w:p>
      <w:pPr>
        <w:spacing w:before="240" w:after="100" w:line="288" w:lineRule="auto"/>
      </w:pPr>
      <w:r>
        <w:rPr>
          <w:rFonts w:ascii="Times New Roman" w:hAnsi="Times New Roman" w:eastAsia="微软雅黑"/>
          <w:b/>
          <w:i w:val="0"/>
          <w:color w:val="10305A"/>
          <w:sz w:val="27"/>
        </w:rPr>
        <w:t>5.2 深度学习预测：它只做候选发现，不做病理判定</w:t>
      </w:r>
    </w:p>
    <w:p>
      <w:pPr>
        <w:spacing w:before="0" w:after="120" w:line="336" w:lineRule="auto"/>
        <w:ind w:firstLine="440"/>
      </w:pPr>
      <w:r>
        <w:rPr>
          <w:rFonts w:ascii="Times New Roman" w:hAnsi="Times New Roman" w:eastAsia="宋体"/>
          <w:b w:val="0"/>
          <w:i w:val="0"/>
          <w:color w:val="1F2937"/>
          <w:sz w:val="22"/>
        </w:rPr>
        <w:t>可沿用 Attention、LSTM 和 BERT 的共识思路。Ma 等从人类肠道微生物组中预测 2,349 条候选序列，化学合成 216 条，其中 181 条显示抗菌活性，说明深度学习适合缩小候选空间；但这项工作验证的是抗菌活性，不等于 AD 病理作用。你的论文应把模型输出命名为“AMP 预测候选”，再另建 AD 差异和病理关联层。[1，37，38，39，40]</w:t>
      </w:r>
    </w:p>
    <w:p>
      <w:pPr>
        <w:spacing w:before="160" w:after="80" w:line="324" w:lineRule="auto"/>
      </w:pPr>
      <w:r>
        <w:rPr>
          <w:rFonts w:ascii="Times New Roman" w:hAnsi="Times New Roman" w:eastAsia="微软雅黑"/>
          <w:b/>
          <w:i w:val="0"/>
          <w:color w:val="10305A"/>
          <w:sz w:val="21"/>
        </w:rPr>
        <w:t>表 9　模型输出到论文结论的正确翻译</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模型/分析输出</w:t>
            </w:r>
          </w:p>
        </w:tc>
        <w:tc>
          <w:tcPr>
            <w:tcW w:type="dxa" w:w="3173"/>
            <w:shd w:val="clear" w:color="auto" w:fill="10305A"/>
          </w:tcPr>
          <w:p>
            <w:pPr>
              <w:jc w:val="center"/>
            </w:pPr>
            <w:r/>
            <w:r>
              <w:rPr>
                <w:rFonts w:ascii="Times New Roman" w:hAnsi="Times New Roman" w:eastAsia="微软雅黑"/>
                <w:b/>
                <w:i w:val="0"/>
                <w:color w:val="FFFFFF"/>
                <w:sz w:val="19"/>
              </w:rPr>
              <w:t>正确翻译</w:t>
            </w:r>
          </w:p>
        </w:tc>
        <w:tc>
          <w:tcPr>
            <w:tcW w:type="dxa" w:w="3173"/>
            <w:shd w:val="clear" w:color="auto" w:fill="10305A"/>
          </w:tcPr>
          <w:p>
            <w:pPr>
              <w:jc w:val="center"/>
            </w:pPr>
            <w:r/>
            <w:r>
              <w:rPr>
                <w:rFonts w:ascii="Times New Roman" w:hAnsi="Times New Roman" w:eastAsia="微软雅黑"/>
                <w:b/>
                <w:i w:val="0"/>
                <w:color w:val="FFFFFF"/>
                <w:sz w:val="19"/>
              </w:rPr>
              <w:t>错误翻译</w:t>
            </w:r>
          </w:p>
        </w:tc>
      </w:tr>
      <w:tr>
        <w:tc>
          <w:tcPr>
            <w:tcW w:type="dxa" w:w="3173"/>
          </w:tcPr>
          <w:p>
            <w:pPr>
              <w:spacing w:after="40" w:line="276" w:lineRule="auto"/>
            </w:pPr>
            <w:r/>
            <w:r>
              <w:rPr>
                <w:rFonts w:ascii="Times New Roman" w:hAnsi="Times New Roman" w:eastAsia="宋体"/>
                <w:b w:val="0"/>
                <w:i w:val="0"/>
                <w:color w:val="1F2937"/>
                <w:sz w:val="19"/>
              </w:rPr>
              <w:t>AMP-BERT 概率 0.9</w:t>
            </w:r>
          </w:p>
        </w:tc>
        <w:tc>
          <w:tcPr>
            <w:tcW w:type="dxa" w:w="3173"/>
          </w:tcPr>
          <w:p>
            <w:pPr>
              <w:spacing w:after="40" w:line="276" w:lineRule="auto"/>
            </w:pPr>
            <w:r/>
            <w:r>
              <w:rPr>
                <w:rFonts w:ascii="Times New Roman" w:hAnsi="Times New Roman" w:eastAsia="宋体"/>
                <w:b w:val="0"/>
                <w:i w:val="0"/>
                <w:color w:val="1F2937"/>
                <w:sz w:val="19"/>
              </w:rPr>
              <w:t>序列具有 AMP 模型特征</w:t>
            </w:r>
          </w:p>
        </w:tc>
        <w:tc>
          <w:tcPr>
            <w:tcW w:type="dxa" w:w="3173"/>
          </w:tcPr>
          <w:p>
            <w:pPr>
              <w:spacing w:after="40" w:line="276" w:lineRule="auto"/>
            </w:pPr>
            <w:r/>
            <w:r>
              <w:rPr>
                <w:rFonts w:ascii="Times New Roman" w:hAnsi="Times New Roman" w:eastAsia="宋体"/>
                <w:b w:val="0"/>
                <w:i w:val="0"/>
                <w:color w:val="1F2937"/>
                <w:sz w:val="19"/>
              </w:rPr>
              <w:t>它会引起 AD</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三模型 2/3 或 3/3 一致</w:t>
            </w:r>
          </w:p>
        </w:tc>
        <w:tc>
          <w:tcPr>
            <w:tcW w:type="dxa" w:w="3173"/>
            <w:shd w:val="clear" w:color="auto" w:fill="F2F5F9"/>
          </w:tcPr>
          <w:p>
            <w:pPr>
              <w:spacing w:after="40" w:line="276" w:lineRule="auto"/>
            </w:pPr>
            <w:r/>
            <w:r>
              <w:rPr>
                <w:rFonts w:ascii="Times New Roman" w:hAnsi="Times New Roman" w:eastAsia="宋体"/>
                <w:b w:val="0"/>
                <w:i w:val="0"/>
                <w:color w:val="1F2937"/>
                <w:sz w:val="19"/>
              </w:rPr>
              <w:t>降低单一模型假阳性，进入差异分析候选集</w:t>
            </w:r>
          </w:p>
        </w:tc>
        <w:tc>
          <w:tcPr>
            <w:tcW w:type="dxa" w:w="3173"/>
            <w:shd w:val="clear" w:color="auto" w:fill="F2F5F9"/>
          </w:tcPr>
          <w:p>
            <w:pPr>
              <w:spacing w:after="40" w:line="276" w:lineRule="auto"/>
            </w:pPr>
            <w:r/>
            <w:r>
              <w:rPr>
                <w:rFonts w:ascii="Times New Roman" w:hAnsi="Times New Roman" w:eastAsia="宋体"/>
                <w:b w:val="0"/>
                <w:i w:val="0"/>
                <w:color w:val="1F2937"/>
                <w:sz w:val="19"/>
              </w:rPr>
              <w:t>已经证明有生物活性</w:t>
            </w:r>
          </w:p>
        </w:tc>
      </w:tr>
      <w:tr>
        <w:tc>
          <w:tcPr>
            <w:tcW w:type="dxa" w:w="3173"/>
          </w:tcPr>
          <w:p>
            <w:pPr>
              <w:spacing w:after="40" w:line="276" w:lineRule="auto"/>
            </w:pPr>
            <w:r/>
            <w:r>
              <w:rPr>
                <w:rFonts w:ascii="Times New Roman" w:hAnsi="Times New Roman" w:eastAsia="宋体"/>
                <w:b w:val="0"/>
                <w:i w:val="0"/>
                <w:color w:val="1F2937"/>
                <w:sz w:val="19"/>
              </w:rPr>
              <w:t>宏基因组丰度 AD 组升高</w:t>
            </w:r>
          </w:p>
        </w:tc>
        <w:tc>
          <w:tcPr>
            <w:tcW w:type="dxa" w:w="3173"/>
          </w:tcPr>
          <w:p>
            <w:pPr>
              <w:spacing w:after="40" w:line="276" w:lineRule="auto"/>
            </w:pPr>
            <w:r/>
            <w:r>
              <w:rPr>
                <w:rFonts w:ascii="Times New Roman" w:hAnsi="Times New Roman" w:eastAsia="宋体"/>
                <w:b w:val="0"/>
                <w:i w:val="0"/>
                <w:color w:val="1F2937"/>
                <w:sz w:val="19"/>
              </w:rPr>
              <w:t>该肽的编码潜力/相对丰度与 AD 状态相关</w:t>
            </w:r>
          </w:p>
        </w:tc>
        <w:tc>
          <w:tcPr>
            <w:tcW w:type="dxa" w:w="3173"/>
          </w:tcPr>
          <w:p>
            <w:pPr>
              <w:spacing w:after="40" w:line="276" w:lineRule="auto"/>
            </w:pPr>
            <w:r/>
            <w:r>
              <w:rPr>
                <w:rFonts w:ascii="Times New Roman" w:hAnsi="Times New Roman" w:eastAsia="宋体"/>
                <w:b w:val="0"/>
                <w:i w:val="0"/>
                <w:color w:val="1F2937"/>
                <w:sz w:val="19"/>
              </w:rPr>
              <w:t>该肽在脑内升高</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宏蛋白组或肽组学检出</w:t>
            </w:r>
          </w:p>
        </w:tc>
        <w:tc>
          <w:tcPr>
            <w:tcW w:type="dxa" w:w="3173"/>
            <w:shd w:val="clear" w:color="auto" w:fill="F2F5F9"/>
          </w:tcPr>
          <w:p>
            <w:pPr>
              <w:spacing w:after="40" w:line="276" w:lineRule="auto"/>
            </w:pPr>
            <w:r/>
            <w:r>
              <w:rPr>
                <w:rFonts w:ascii="Times New Roman" w:hAnsi="Times New Roman" w:eastAsia="宋体"/>
                <w:b w:val="0"/>
                <w:i w:val="0"/>
                <w:color w:val="1F2937"/>
                <w:sz w:val="19"/>
              </w:rPr>
              <w:t>序列被表达或以肽形式出现的证据增强</w:t>
            </w:r>
          </w:p>
        </w:tc>
        <w:tc>
          <w:tcPr>
            <w:tcW w:type="dxa" w:w="3173"/>
            <w:shd w:val="clear" w:color="auto" w:fill="F2F5F9"/>
          </w:tcPr>
          <w:p>
            <w:pPr>
              <w:spacing w:after="40" w:line="276" w:lineRule="auto"/>
            </w:pPr>
            <w:r/>
            <w:r>
              <w:rPr>
                <w:rFonts w:ascii="Times New Roman" w:hAnsi="Times New Roman" w:eastAsia="宋体"/>
                <w:b w:val="0"/>
                <w:i w:val="0"/>
                <w:color w:val="1F2937"/>
                <w:sz w:val="19"/>
              </w:rPr>
              <w:t>该肽一定有病理功能</w:t>
            </w:r>
          </w:p>
        </w:tc>
      </w:tr>
      <w:tr>
        <w:tc>
          <w:tcPr>
            <w:tcW w:type="dxa" w:w="3173"/>
          </w:tcPr>
          <w:p>
            <w:pPr>
              <w:spacing w:after="40" w:line="276" w:lineRule="auto"/>
            </w:pPr>
            <w:r/>
            <w:r>
              <w:rPr>
                <w:rFonts w:ascii="Times New Roman" w:hAnsi="Times New Roman" w:eastAsia="宋体"/>
                <w:b w:val="0"/>
                <w:i w:val="0"/>
                <w:color w:val="1F2937"/>
                <w:sz w:val="19"/>
              </w:rPr>
              <w:t>MD 对接得分较好</w:t>
            </w:r>
          </w:p>
        </w:tc>
        <w:tc>
          <w:tcPr>
            <w:tcW w:type="dxa" w:w="3173"/>
          </w:tcPr>
          <w:p>
            <w:pPr>
              <w:spacing w:after="40" w:line="276" w:lineRule="auto"/>
            </w:pPr>
            <w:r/>
            <w:r>
              <w:rPr>
                <w:rFonts w:ascii="Times New Roman" w:hAnsi="Times New Roman" w:eastAsia="宋体"/>
                <w:b w:val="0"/>
                <w:i w:val="0"/>
                <w:color w:val="1F2937"/>
                <w:sz w:val="19"/>
              </w:rPr>
              <w:t>存在值得验证的结构构象</w:t>
            </w:r>
          </w:p>
        </w:tc>
        <w:tc>
          <w:tcPr>
            <w:tcW w:type="dxa" w:w="3173"/>
          </w:tcPr>
          <w:p>
            <w:pPr>
              <w:spacing w:after="40" w:line="276" w:lineRule="auto"/>
            </w:pPr>
            <w:r/>
            <w:r>
              <w:rPr>
                <w:rFonts w:ascii="Times New Roman" w:hAnsi="Times New Roman" w:eastAsia="宋体"/>
                <w:b w:val="0"/>
                <w:i w:val="0"/>
                <w:color w:val="1F2937"/>
                <w:sz w:val="19"/>
              </w:rPr>
              <w:t>体内结合并导致 AD</w:t>
            </w:r>
          </w:p>
        </w:tc>
      </w:tr>
    </w:tbl>
    <w:p>
      <w:pPr>
        <w:spacing w:after="40"/>
      </w:pPr>
    </w:p>
    <w:p>
      <w:pPr>
        <w:spacing w:before="240" w:after="100" w:line="288" w:lineRule="auto"/>
      </w:pPr>
      <w:r>
        <w:rPr>
          <w:rFonts w:ascii="Times New Roman" w:hAnsi="Times New Roman" w:eastAsia="微软雅黑"/>
          <w:b/>
          <w:i w:val="0"/>
          <w:color w:val="10305A"/>
          <w:sz w:val="27"/>
        </w:rPr>
        <w:t>5.3 差异分析：先选 AD 相关肽，再谈机制</w:t>
      </w:r>
    </w:p>
    <w:p>
      <w:pPr>
        <w:spacing w:before="0" w:after="120" w:line="336" w:lineRule="auto"/>
        <w:ind w:firstLine="440"/>
      </w:pPr>
      <w:r>
        <w:rPr>
          <w:rFonts w:ascii="Times New Roman" w:hAnsi="Times New Roman" w:eastAsia="宋体"/>
          <w:b w:val="0"/>
          <w:i w:val="0"/>
          <w:color w:val="1F2937"/>
          <w:sz w:val="22"/>
        </w:rPr>
        <w:t>对每个非冗余肽或序列簇建立样本矩阵。不要对相对丰度直接做普通 t 检验；微生物组是组成性数据，需要 CLR/Aitchison 变换、ANCOM-BC2、MaAsLin2 或适合的计数模型，并将年龄、性别、APOE、BMI、教育、药物、饮食、测序批次和研究来源作为协变量。差异筛选应同时报告效应量、95% CI、FDR、检出率、方向一致性和分期趋势。[41，42，43，15，44，45]</w:t>
      </w:r>
    </w:p>
    <w:p>
      <w:pPr>
        <w:spacing w:before="160" w:after="80" w:line="324" w:lineRule="auto"/>
      </w:pPr>
      <w:r>
        <w:rPr>
          <w:rFonts w:ascii="Times New Roman" w:hAnsi="Times New Roman" w:eastAsia="微软雅黑"/>
          <w:b/>
          <w:i w:val="0"/>
          <w:color w:val="10305A"/>
          <w:sz w:val="21"/>
        </w:rPr>
        <w:t>表 10　推荐的差异候选肽判定规则</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指标</w:t>
            </w:r>
          </w:p>
        </w:tc>
        <w:tc>
          <w:tcPr>
            <w:tcW w:type="dxa" w:w="3173"/>
            <w:shd w:val="clear" w:color="auto" w:fill="10305A"/>
          </w:tcPr>
          <w:p>
            <w:pPr>
              <w:jc w:val="center"/>
            </w:pPr>
            <w:r/>
            <w:r>
              <w:rPr>
                <w:rFonts w:ascii="Times New Roman" w:hAnsi="Times New Roman" w:eastAsia="微软雅黑"/>
                <w:b/>
                <w:i w:val="0"/>
                <w:color w:val="FFFFFF"/>
                <w:sz w:val="19"/>
              </w:rPr>
              <w:t>预先固定的建议规则</w:t>
            </w:r>
          </w:p>
        </w:tc>
        <w:tc>
          <w:tcPr>
            <w:tcW w:type="dxa" w:w="3173"/>
            <w:shd w:val="clear" w:color="auto" w:fill="10305A"/>
          </w:tcPr>
          <w:p>
            <w:pPr>
              <w:jc w:val="center"/>
            </w:pPr>
            <w:r/>
            <w:r>
              <w:rPr>
                <w:rFonts w:ascii="Times New Roman" w:hAnsi="Times New Roman" w:eastAsia="微软雅黑"/>
                <w:b/>
                <w:i w:val="0"/>
                <w:color w:val="FFFFFF"/>
                <w:sz w:val="19"/>
              </w:rPr>
              <w:t>解释</w:t>
            </w:r>
          </w:p>
        </w:tc>
      </w:tr>
      <w:tr>
        <w:tc>
          <w:tcPr>
            <w:tcW w:type="dxa" w:w="3173"/>
          </w:tcPr>
          <w:p>
            <w:pPr>
              <w:spacing w:after="40" w:line="276" w:lineRule="auto"/>
            </w:pPr>
            <w:r/>
            <w:r>
              <w:rPr>
                <w:rFonts w:ascii="Times New Roman" w:hAnsi="Times New Roman" w:eastAsia="宋体"/>
                <w:b w:val="0"/>
                <w:i w:val="0"/>
                <w:color w:val="1F2937"/>
                <w:sz w:val="19"/>
              </w:rPr>
              <w:t>组内检出率</w:t>
            </w:r>
          </w:p>
        </w:tc>
        <w:tc>
          <w:tcPr>
            <w:tcW w:type="dxa" w:w="3173"/>
          </w:tcPr>
          <w:p>
            <w:pPr>
              <w:spacing w:after="40" w:line="276" w:lineRule="auto"/>
            </w:pPr>
            <w:r/>
            <w:r>
              <w:rPr>
                <w:rFonts w:ascii="Times New Roman" w:hAnsi="Times New Roman" w:eastAsia="宋体"/>
                <w:b w:val="0"/>
                <w:i w:val="0"/>
                <w:color w:val="1F2937"/>
                <w:sz w:val="19"/>
              </w:rPr>
              <w:t>主要分析组内 ≥20% 或按预先注册阈值；稀有肽单独标记</w:t>
            </w:r>
          </w:p>
        </w:tc>
        <w:tc>
          <w:tcPr>
            <w:tcW w:type="dxa" w:w="3173"/>
          </w:tcPr>
          <w:p>
            <w:pPr>
              <w:spacing w:after="40" w:line="276" w:lineRule="auto"/>
            </w:pPr>
            <w:r/>
            <w:r>
              <w:rPr>
                <w:rFonts w:ascii="Times New Roman" w:hAnsi="Times New Roman" w:eastAsia="宋体"/>
                <w:b w:val="0"/>
                <w:i w:val="0"/>
                <w:color w:val="1F2937"/>
                <w:sz w:val="19"/>
              </w:rPr>
              <w:t>避免一个样本造成假差异</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效应量</w:t>
            </w:r>
          </w:p>
        </w:tc>
        <w:tc>
          <w:tcPr>
            <w:tcW w:type="dxa" w:w="3173"/>
            <w:shd w:val="clear" w:color="auto" w:fill="F2F5F9"/>
          </w:tcPr>
          <w:p>
            <w:pPr>
              <w:spacing w:after="40" w:line="276" w:lineRule="auto"/>
            </w:pPr>
            <w:r/>
            <w:r>
              <w:rPr>
                <w:rFonts w:ascii="Times New Roman" w:hAnsi="Times New Roman" w:eastAsia="宋体"/>
                <w:b w:val="0"/>
                <w:i w:val="0"/>
                <w:color w:val="1F2937"/>
                <w:sz w:val="19"/>
              </w:rPr>
              <w:t>报告 AD/健康 CLR 差值或模型系数，不只报 P 值</w:t>
            </w:r>
          </w:p>
        </w:tc>
        <w:tc>
          <w:tcPr>
            <w:tcW w:type="dxa" w:w="3173"/>
            <w:shd w:val="clear" w:color="auto" w:fill="F2F5F9"/>
          </w:tcPr>
          <w:p>
            <w:pPr>
              <w:spacing w:after="40" w:line="276" w:lineRule="auto"/>
            </w:pPr>
            <w:r/>
            <w:r>
              <w:rPr>
                <w:rFonts w:ascii="Times New Roman" w:hAnsi="Times New Roman" w:eastAsia="宋体"/>
                <w:b w:val="0"/>
                <w:i w:val="0"/>
                <w:color w:val="1F2937"/>
                <w:sz w:val="19"/>
              </w:rPr>
              <w:t>效应大小比显著性更可解释</w:t>
            </w:r>
          </w:p>
        </w:tc>
      </w:tr>
      <w:tr>
        <w:tc>
          <w:tcPr>
            <w:tcW w:type="dxa" w:w="3173"/>
          </w:tcPr>
          <w:p>
            <w:pPr>
              <w:spacing w:after="40" w:line="276" w:lineRule="auto"/>
            </w:pPr>
            <w:r/>
            <w:r>
              <w:rPr>
                <w:rFonts w:ascii="Times New Roman" w:hAnsi="Times New Roman" w:eastAsia="宋体"/>
                <w:b w:val="0"/>
                <w:i w:val="0"/>
                <w:color w:val="1F2937"/>
                <w:sz w:val="19"/>
              </w:rPr>
              <w:t>多重校正</w:t>
            </w:r>
          </w:p>
        </w:tc>
        <w:tc>
          <w:tcPr>
            <w:tcW w:type="dxa" w:w="3173"/>
          </w:tcPr>
          <w:p>
            <w:pPr>
              <w:spacing w:after="40" w:line="276" w:lineRule="auto"/>
            </w:pPr>
            <w:r/>
            <w:r>
              <w:rPr>
                <w:rFonts w:ascii="Times New Roman" w:hAnsi="Times New Roman" w:eastAsia="宋体"/>
                <w:b w:val="0"/>
                <w:i w:val="0"/>
                <w:color w:val="1F2937"/>
                <w:sz w:val="19"/>
              </w:rPr>
              <w:t>FDR &lt; 0.05 为主，FDR 0.05-0.10 为探索层</w:t>
            </w:r>
          </w:p>
        </w:tc>
        <w:tc>
          <w:tcPr>
            <w:tcW w:type="dxa" w:w="3173"/>
          </w:tcPr>
          <w:p>
            <w:pPr>
              <w:spacing w:after="40" w:line="276" w:lineRule="auto"/>
            </w:pPr>
            <w:r/>
            <w:r>
              <w:rPr>
                <w:rFonts w:ascii="Times New Roman" w:hAnsi="Times New Roman" w:eastAsia="宋体"/>
                <w:b w:val="0"/>
                <w:i w:val="0"/>
                <w:color w:val="1F2937"/>
                <w:sz w:val="19"/>
              </w:rPr>
              <w:t>控制成千上万条肽的假阳性</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协变量稳健性</w:t>
            </w:r>
          </w:p>
        </w:tc>
        <w:tc>
          <w:tcPr>
            <w:tcW w:type="dxa" w:w="3173"/>
            <w:shd w:val="clear" w:color="auto" w:fill="F2F5F9"/>
          </w:tcPr>
          <w:p>
            <w:pPr>
              <w:spacing w:after="40" w:line="276" w:lineRule="auto"/>
            </w:pPr>
            <w:r/>
            <w:r>
              <w:rPr>
                <w:rFonts w:ascii="Times New Roman" w:hAnsi="Times New Roman" w:eastAsia="宋体"/>
                <w:b w:val="0"/>
                <w:i w:val="0"/>
                <w:color w:val="1F2937"/>
                <w:sz w:val="19"/>
              </w:rPr>
              <w:t>主模型和敏感性模型方向一致</w:t>
            </w:r>
          </w:p>
        </w:tc>
        <w:tc>
          <w:tcPr>
            <w:tcW w:type="dxa" w:w="3173"/>
            <w:shd w:val="clear" w:color="auto" w:fill="F2F5F9"/>
          </w:tcPr>
          <w:p>
            <w:pPr>
              <w:spacing w:after="40" w:line="276" w:lineRule="auto"/>
            </w:pPr>
            <w:r/>
            <w:r>
              <w:rPr>
                <w:rFonts w:ascii="Times New Roman" w:hAnsi="Times New Roman" w:eastAsia="宋体"/>
                <w:b w:val="0"/>
                <w:i w:val="0"/>
                <w:color w:val="1F2937"/>
                <w:sz w:val="19"/>
              </w:rPr>
              <w:t>排除药物、年龄、批次混杂</w:t>
            </w:r>
          </w:p>
        </w:tc>
      </w:tr>
      <w:tr>
        <w:tc>
          <w:tcPr>
            <w:tcW w:type="dxa" w:w="3173"/>
          </w:tcPr>
          <w:p>
            <w:pPr>
              <w:spacing w:after="40" w:line="276" w:lineRule="auto"/>
            </w:pPr>
            <w:r/>
            <w:r>
              <w:rPr>
                <w:rFonts w:ascii="Times New Roman" w:hAnsi="Times New Roman" w:eastAsia="宋体"/>
                <w:b w:val="0"/>
                <w:i w:val="0"/>
                <w:color w:val="1F2937"/>
                <w:sz w:val="19"/>
              </w:rPr>
              <w:t>分期趋势</w:t>
            </w:r>
          </w:p>
        </w:tc>
        <w:tc>
          <w:tcPr>
            <w:tcW w:type="dxa" w:w="3173"/>
          </w:tcPr>
          <w:p>
            <w:pPr>
              <w:spacing w:after="40" w:line="276" w:lineRule="auto"/>
            </w:pPr>
            <w:r/>
            <w:r>
              <w:rPr>
                <w:rFonts w:ascii="Times New Roman" w:hAnsi="Times New Roman" w:eastAsia="宋体"/>
                <w:b w:val="0"/>
                <w:i w:val="0"/>
                <w:color w:val="1F2937"/>
                <w:sz w:val="19"/>
              </w:rPr>
              <w:t>健康→MCI→AD 或病程分数的趋势检验</w:t>
            </w:r>
          </w:p>
        </w:tc>
        <w:tc>
          <w:tcPr>
            <w:tcW w:type="dxa" w:w="3173"/>
          </w:tcPr>
          <w:p>
            <w:pPr>
              <w:spacing w:after="40" w:line="276" w:lineRule="auto"/>
            </w:pPr>
            <w:r/>
            <w:r>
              <w:rPr>
                <w:rFonts w:ascii="Times New Roman" w:hAnsi="Times New Roman" w:eastAsia="宋体"/>
                <w:b w:val="0"/>
                <w:i w:val="0"/>
                <w:color w:val="1F2937"/>
                <w:sz w:val="19"/>
              </w:rPr>
              <w:t>比单次 AD/健康比较更接近病程关联</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独立性</w:t>
            </w:r>
          </w:p>
        </w:tc>
        <w:tc>
          <w:tcPr>
            <w:tcW w:type="dxa" w:w="3173"/>
            <w:shd w:val="clear" w:color="auto" w:fill="F2F5F9"/>
          </w:tcPr>
          <w:p>
            <w:pPr>
              <w:spacing w:after="40" w:line="276" w:lineRule="auto"/>
            </w:pPr>
            <w:r/>
            <w:r>
              <w:rPr>
                <w:rFonts w:ascii="Times New Roman" w:hAnsi="Times New Roman" w:eastAsia="宋体"/>
                <w:b w:val="0"/>
                <w:i w:val="0"/>
                <w:color w:val="1F2937"/>
                <w:sz w:val="19"/>
              </w:rPr>
              <w:t>序列簇或 MAG 层面去重，避免同源肽重复计数</w:t>
            </w:r>
          </w:p>
        </w:tc>
        <w:tc>
          <w:tcPr>
            <w:tcW w:type="dxa" w:w="3173"/>
            <w:shd w:val="clear" w:color="auto" w:fill="F2F5F9"/>
          </w:tcPr>
          <w:p>
            <w:pPr>
              <w:spacing w:after="40" w:line="276" w:lineRule="auto"/>
            </w:pPr>
            <w:r/>
            <w:r>
              <w:rPr>
                <w:rFonts w:ascii="Times New Roman" w:hAnsi="Times New Roman" w:eastAsia="宋体"/>
                <w:b w:val="0"/>
                <w:i w:val="0"/>
                <w:color w:val="1F2937"/>
                <w:sz w:val="19"/>
              </w:rPr>
              <w:t>防止一个家族产生虚假的多重证据</w:t>
            </w:r>
          </w:p>
        </w:tc>
      </w:tr>
    </w:tbl>
    <w:p>
      <w:pPr>
        <w:spacing w:after="40"/>
      </w:pPr>
    </w:p>
    <w:p>
      <w:pPr>
        <w:spacing w:before="240" w:after="100" w:line="288" w:lineRule="auto"/>
      </w:pPr>
      <w:r>
        <w:rPr>
          <w:rFonts w:ascii="Times New Roman" w:hAnsi="Times New Roman" w:eastAsia="微软雅黑"/>
          <w:b/>
          <w:i w:val="0"/>
          <w:color w:val="10305A"/>
          <w:sz w:val="27"/>
        </w:rPr>
        <w:t>5.4 从差异肽到病理机制：四张网络</w:t>
      </w:r>
    </w:p>
    <w:p>
      <w:pPr>
        <w:spacing w:before="0" w:after="120" w:line="336" w:lineRule="auto"/>
        <w:ind w:firstLine="440"/>
      </w:pPr>
      <w:r>
        <w:rPr>
          <w:rFonts w:ascii="Times New Roman" w:hAnsi="Times New Roman" w:eastAsia="宋体"/>
          <w:b w:val="0"/>
          <w:i w:val="0"/>
          <w:color w:val="1F2937"/>
          <w:sz w:val="22"/>
        </w:rPr>
        <w:t>机制关联建议同时画四张网络，而不是只画 Aβ 对接图：第一张是候选肽—来源菌网络；第二张是候选肽—LPS/SCFA/胆汁酸—屏障网络；第三张是候选肽/代谢物—TLR4、NOD2、FPR2、NLRP3、NF-kB—细胞因子网络；第四张才是候选肽—Aβ/Tau—清除或毒性网络。这样可以把肠道来源和 AD 病理之间的中间环节讲清楚。[46，47，48，49，50，51]</w:t>
      </w:r>
    </w:p>
    <w:p>
      <w:pPr>
        <w:spacing w:before="160" w:after="80" w:line="324" w:lineRule="auto"/>
      </w:pPr>
      <w:r>
        <w:rPr>
          <w:rFonts w:ascii="Times New Roman" w:hAnsi="Times New Roman" w:eastAsia="微软雅黑"/>
          <w:b/>
          <w:i w:val="0"/>
          <w:color w:val="10305A"/>
          <w:sz w:val="21"/>
        </w:rPr>
        <w:t>表 11　四张网络分别回答什么</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网络</w:t>
            </w:r>
          </w:p>
        </w:tc>
        <w:tc>
          <w:tcPr>
            <w:tcW w:type="dxa" w:w="2379"/>
            <w:shd w:val="clear" w:color="auto" w:fill="10305A"/>
          </w:tcPr>
          <w:p>
            <w:pPr>
              <w:jc w:val="center"/>
            </w:pPr>
            <w:r/>
            <w:r>
              <w:rPr>
                <w:rFonts w:ascii="Times New Roman" w:hAnsi="Times New Roman" w:eastAsia="微软雅黑"/>
                <w:b/>
                <w:i w:val="0"/>
                <w:color w:val="FFFFFF"/>
                <w:sz w:val="19"/>
              </w:rPr>
              <w:t>节点</w:t>
            </w:r>
          </w:p>
        </w:tc>
        <w:tc>
          <w:tcPr>
            <w:tcW w:type="dxa" w:w="2379"/>
            <w:shd w:val="clear" w:color="auto" w:fill="10305A"/>
          </w:tcPr>
          <w:p>
            <w:pPr>
              <w:jc w:val="center"/>
            </w:pPr>
            <w:r/>
            <w:r>
              <w:rPr>
                <w:rFonts w:ascii="Times New Roman" w:hAnsi="Times New Roman" w:eastAsia="微软雅黑"/>
                <w:b/>
                <w:i w:val="0"/>
                <w:color w:val="FFFFFF"/>
                <w:sz w:val="19"/>
              </w:rPr>
              <w:t>边的含义</w:t>
            </w:r>
          </w:p>
        </w:tc>
        <w:tc>
          <w:tcPr>
            <w:tcW w:type="dxa" w:w="2379"/>
            <w:shd w:val="clear" w:color="auto" w:fill="10305A"/>
          </w:tcPr>
          <w:p>
            <w:pPr>
              <w:jc w:val="center"/>
            </w:pPr>
            <w:r/>
            <w:r>
              <w:rPr>
                <w:rFonts w:ascii="Times New Roman" w:hAnsi="Times New Roman" w:eastAsia="微软雅黑"/>
                <w:b/>
                <w:i w:val="0"/>
                <w:color w:val="FFFFFF"/>
                <w:sz w:val="19"/>
              </w:rPr>
              <w:t>最低证据</w:t>
            </w:r>
          </w:p>
        </w:tc>
      </w:tr>
      <w:tr>
        <w:tc>
          <w:tcPr>
            <w:tcW w:type="dxa" w:w="2379"/>
          </w:tcPr>
          <w:p>
            <w:pPr>
              <w:spacing w:after="40" w:line="276" w:lineRule="auto"/>
            </w:pPr>
            <w:r/>
            <w:r>
              <w:rPr>
                <w:rFonts w:ascii="Times New Roman" w:hAnsi="Times New Roman" w:eastAsia="宋体"/>
                <w:b w:val="0"/>
                <w:i w:val="0"/>
                <w:color w:val="1F2937"/>
                <w:sz w:val="19"/>
              </w:rPr>
              <w:t>来源网络</w:t>
            </w:r>
          </w:p>
        </w:tc>
        <w:tc>
          <w:tcPr>
            <w:tcW w:type="dxa" w:w="2379"/>
          </w:tcPr>
          <w:p>
            <w:pPr>
              <w:spacing w:after="40" w:line="276" w:lineRule="auto"/>
            </w:pPr>
            <w:r/>
            <w:r>
              <w:rPr>
                <w:rFonts w:ascii="Times New Roman" w:hAnsi="Times New Roman" w:eastAsia="宋体"/>
                <w:b w:val="0"/>
                <w:i w:val="0"/>
                <w:color w:val="1F2937"/>
                <w:sz w:val="19"/>
              </w:rPr>
              <w:t>AMP、ORF、MAG、菌属</w:t>
            </w:r>
          </w:p>
        </w:tc>
        <w:tc>
          <w:tcPr>
            <w:tcW w:type="dxa" w:w="2379"/>
          </w:tcPr>
          <w:p>
            <w:pPr>
              <w:spacing w:after="40" w:line="276" w:lineRule="auto"/>
            </w:pPr>
            <w:r/>
            <w:r>
              <w:rPr>
                <w:rFonts w:ascii="Times New Roman" w:hAnsi="Times New Roman" w:eastAsia="宋体"/>
                <w:b w:val="0"/>
                <w:i w:val="0"/>
                <w:color w:val="1F2937"/>
                <w:sz w:val="19"/>
              </w:rPr>
              <w:t>谁编码了候选肽</w:t>
            </w:r>
          </w:p>
        </w:tc>
        <w:tc>
          <w:tcPr>
            <w:tcW w:type="dxa" w:w="2379"/>
          </w:tcPr>
          <w:p>
            <w:pPr>
              <w:spacing w:after="40" w:line="276" w:lineRule="auto"/>
            </w:pPr>
            <w:r/>
            <w:r>
              <w:rPr>
                <w:rFonts w:ascii="Times New Roman" w:hAnsi="Times New Roman" w:eastAsia="宋体"/>
                <w:b w:val="0"/>
                <w:i w:val="0"/>
                <w:color w:val="1F2937"/>
                <w:sz w:val="19"/>
              </w:rPr>
              <w:t>基因坐标、分类和丰度</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生态网络</w:t>
            </w:r>
          </w:p>
        </w:tc>
        <w:tc>
          <w:tcPr>
            <w:tcW w:type="dxa" w:w="2379"/>
            <w:shd w:val="clear" w:color="auto" w:fill="F2F5F9"/>
          </w:tcPr>
          <w:p>
            <w:pPr>
              <w:spacing w:after="40" w:line="276" w:lineRule="auto"/>
            </w:pPr>
            <w:r/>
            <w:r>
              <w:rPr>
                <w:rFonts w:ascii="Times New Roman" w:hAnsi="Times New Roman" w:eastAsia="宋体"/>
                <w:b w:val="0"/>
                <w:i w:val="0"/>
                <w:color w:val="1F2937"/>
                <w:sz w:val="19"/>
              </w:rPr>
              <w:t>AMP、菌群、LPS、SCFA</w:t>
            </w:r>
          </w:p>
        </w:tc>
        <w:tc>
          <w:tcPr>
            <w:tcW w:type="dxa" w:w="2379"/>
            <w:shd w:val="clear" w:color="auto" w:fill="F2F5F9"/>
          </w:tcPr>
          <w:p>
            <w:pPr>
              <w:spacing w:after="40" w:line="276" w:lineRule="auto"/>
            </w:pPr>
            <w:r/>
            <w:r>
              <w:rPr>
                <w:rFonts w:ascii="Times New Roman" w:hAnsi="Times New Roman" w:eastAsia="宋体"/>
                <w:b w:val="0"/>
                <w:i w:val="0"/>
                <w:color w:val="1F2937"/>
                <w:sz w:val="19"/>
              </w:rPr>
              <w:t>共同变化或潜在拮抗</w:t>
            </w:r>
          </w:p>
        </w:tc>
        <w:tc>
          <w:tcPr>
            <w:tcW w:type="dxa" w:w="2379"/>
            <w:shd w:val="clear" w:color="auto" w:fill="F2F5F9"/>
          </w:tcPr>
          <w:p>
            <w:pPr>
              <w:spacing w:after="40" w:line="276" w:lineRule="auto"/>
            </w:pPr>
            <w:r/>
            <w:r>
              <w:rPr>
                <w:rFonts w:ascii="Times New Roman" w:hAnsi="Times New Roman" w:eastAsia="宋体"/>
                <w:b w:val="0"/>
                <w:i w:val="0"/>
                <w:color w:val="1F2937"/>
                <w:sz w:val="19"/>
              </w:rPr>
              <w:t>组成性网络 + bootstrap</w:t>
            </w:r>
          </w:p>
        </w:tc>
      </w:tr>
      <w:tr>
        <w:tc>
          <w:tcPr>
            <w:tcW w:type="dxa" w:w="2379"/>
          </w:tcPr>
          <w:p>
            <w:pPr>
              <w:spacing w:after="40" w:line="276" w:lineRule="auto"/>
            </w:pPr>
            <w:r/>
            <w:r>
              <w:rPr>
                <w:rFonts w:ascii="Times New Roman" w:hAnsi="Times New Roman" w:eastAsia="宋体"/>
                <w:b w:val="0"/>
                <w:i w:val="0"/>
                <w:color w:val="1F2937"/>
                <w:sz w:val="19"/>
              </w:rPr>
              <w:t>免疫网络</w:t>
            </w:r>
          </w:p>
        </w:tc>
        <w:tc>
          <w:tcPr>
            <w:tcW w:type="dxa" w:w="2379"/>
          </w:tcPr>
          <w:p>
            <w:pPr>
              <w:spacing w:after="40" w:line="276" w:lineRule="auto"/>
            </w:pPr>
            <w:r/>
            <w:r>
              <w:rPr>
                <w:rFonts w:ascii="Times New Roman" w:hAnsi="Times New Roman" w:eastAsia="宋体"/>
                <w:b w:val="0"/>
                <w:i w:val="0"/>
                <w:color w:val="1F2937"/>
                <w:sz w:val="19"/>
              </w:rPr>
              <w:t>AMP、TLR/NOD、FPR2、NF-kB、IL-6/TNF</w:t>
            </w:r>
          </w:p>
        </w:tc>
        <w:tc>
          <w:tcPr>
            <w:tcW w:type="dxa" w:w="2379"/>
          </w:tcPr>
          <w:p>
            <w:pPr>
              <w:spacing w:after="40" w:line="276" w:lineRule="auto"/>
            </w:pPr>
            <w:r/>
            <w:r>
              <w:rPr>
                <w:rFonts w:ascii="Times New Roman" w:hAnsi="Times New Roman" w:eastAsia="宋体"/>
                <w:b w:val="0"/>
                <w:i w:val="0"/>
                <w:color w:val="1F2937"/>
                <w:sz w:val="19"/>
              </w:rPr>
              <w:t>炎症方向连接</w:t>
            </w:r>
          </w:p>
        </w:tc>
        <w:tc>
          <w:tcPr>
            <w:tcW w:type="dxa" w:w="2379"/>
          </w:tcPr>
          <w:p>
            <w:pPr>
              <w:spacing w:after="40" w:line="276" w:lineRule="auto"/>
            </w:pPr>
            <w:r/>
            <w:r>
              <w:rPr>
                <w:rFonts w:ascii="Times New Roman" w:hAnsi="Times New Roman" w:eastAsia="宋体"/>
                <w:b w:val="0"/>
                <w:i w:val="0"/>
                <w:color w:val="1F2937"/>
                <w:sz w:val="19"/>
              </w:rPr>
              <w:t>文献/受体结构/表达证据</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脑病理网络</w:t>
            </w:r>
          </w:p>
        </w:tc>
        <w:tc>
          <w:tcPr>
            <w:tcW w:type="dxa" w:w="2379"/>
            <w:shd w:val="clear" w:color="auto" w:fill="F2F5F9"/>
          </w:tcPr>
          <w:p>
            <w:pPr>
              <w:spacing w:after="40" w:line="276" w:lineRule="auto"/>
            </w:pPr>
            <w:r/>
            <w:r>
              <w:rPr>
                <w:rFonts w:ascii="Times New Roman" w:hAnsi="Times New Roman" w:eastAsia="宋体"/>
                <w:b w:val="0"/>
                <w:i w:val="0"/>
                <w:color w:val="1F2937"/>
                <w:sz w:val="19"/>
              </w:rPr>
              <w:t>AMP、Aβ、Tau、BBB、微胶质</w:t>
            </w:r>
          </w:p>
        </w:tc>
        <w:tc>
          <w:tcPr>
            <w:tcW w:type="dxa" w:w="2379"/>
            <w:shd w:val="clear" w:color="auto" w:fill="F2F5F9"/>
          </w:tcPr>
          <w:p>
            <w:pPr>
              <w:spacing w:after="40" w:line="276" w:lineRule="auto"/>
            </w:pPr>
            <w:r/>
            <w:r>
              <w:rPr>
                <w:rFonts w:ascii="Times New Roman" w:hAnsi="Times New Roman" w:eastAsia="宋体"/>
                <w:b w:val="0"/>
                <w:i w:val="0"/>
                <w:color w:val="1F2937"/>
                <w:sz w:val="19"/>
              </w:rPr>
              <w:t>可能的下游影响</w:t>
            </w:r>
          </w:p>
        </w:tc>
        <w:tc>
          <w:tcPr>
            <w:tcW w:type="dxa" w:w="2379"/>
            <w:shd w:val="clear" w:color="auto" w:fill="F2F5F9"/>
          </w:tcPr>
          <w:p>
            <w:pPr>
              <w:spacing w:after="40" w:line="276" w:lineRule="auto"/>
            </w:pPr>
            <w:r/>
            <w:r>
              <w:rPr>
                <w:rFonts w:ascii="Times New Roman" w:hAnsi="Times New Roman" w:eastAsia="宋体"/>
                <w:b w:val="0"/>
                <w:i w:val="0"/>
                <w:color w:val="1F2937"/>
                <w:sz w:val="19"/>
              </w:rPr>
              <w:t>暴露合理性 + 机制模型</w:t>
            </w:r>
          </w:p>
        </w:tc>
      </w:tr>
    </w:tbl>
    <w:p>
      <w:pPr>
        <w:spacing w:after="40"/>
      </w:pPr>
    </w:p>
    <w:p>
      <w:pPr>
        <w:spacing w:before="0" w:after="120" w:line="336" w:lineRule="auto"/>
        <w:ind w:firstLine="440"/>
      </w:pPr>
      <w:r>
        <w:rPr>
          <w:rFonts w:ascii="Times New Roman" w:hAnsi="Times New Roman" w:eastAsia="宋体"/>
          <w:b w:val="0"/>
          <w:i w:val="0"/>
          <w:color w:val="1F2937"/>
          <w:sz w:val="22"/>
        </w:rPr>
        <w:t>中介分析可以把“菌群 → AMP → AD 标志物”写成可检验统计路径，但横断面数据仍不能独立证明因果。可将 AMP 或其来源菌作为中介，把 LPS/SCFA/炎症指标作为并行中介，并通过 bootstrap、敏感性分析和 DAG 检查方向。MR 或纵向样本可以增强因果方向判断，但不能替代肽的功能验证。[49，52，53，54]</w:t>
      </w:r>
    </w:p>
    <w:p>
      <w:pPr>
        <w:spacing w:before="320" w:after="160" w:line="288" w:lineRule="auto"/>
      </w:pPr>
      <w:r>
        <w:rPr>
          <w:rFonts w:ascii="Times New Roman" w:hAnsi="Times New Roman" w:eastAsia="微软雅黑"/>
          <w:b/>
          <w:i w:val="0"/>
          <w:color w:val="10305A"/>
          <w:sz w:val="34"/>
        </w:rPr>
        <w:t>六、分子动力学应该怎么服务于你的论文</w:t>
      </w:r>
    </w:p>
    <w:p>
      <w:pPr>
        <w:spacing w:before="240" w:after="100" w:line="288" w:lineRule="auto"/>
      </w:pPr>
      <w:r>
        <w:rPr>
          <w:rFonts w:ascii="Times New Roman" w:hAnsi="Times New Roman" w:eastAsia="微软雅黑"/>
          <w:b/>
          <w:i w:val="0"/>
          <w:color w:val="10305A"/>
          <w:sz w:val="27"/>
        </w:rPr>
        <w:t>6.1 第一优先级：候选 AMP 与肠道细菌膜/LPS</w:t>
      </w:r>
    </w:p>
    <w:p>
      <w:pPr>
        <w:spacing w:before="0" w:after="120" w:line="336" w:lineRule="auto"/>
        <w:ind w:firstLine="440"/>
      </w:pPr>
      <w:r>
        <w:rPr>
          <w:rFonts w:ascii="Times New Roman" w:hAnsi="Times New Roman" w:eastAsia="宋体"/>
          <w:b w:val="0"/>
          <w:i w:val="0"/>
          <w:color w:val="1F2937"/>
          <w:sz w:val="22"/>
        </w:rPr>
        <w:t>因为候选肽来自肠道微生物组，第一套分子模拟应回答“它会不会选择性作用于相关细菌膜或 LPS”，而不是一上来模拟 Aβ。可选择来源菌的外膜脂质 A、LPS 或代表性内膜 POPE/POPG，并比较候选肽与健康相关菌、AD 富集菌的膜组成。输出包括吸附自由能、插膜 PMF、膜厚度、面积/脂质、孔形成、离子泄漏和肽聚集。[55，56，57，58]</w:t>
      </w:r>
    </w:p>
    <w:p>
      <w:pPr>
        <w:spacing w:before="160" w:after="80" w:line="324" w:lineRule="auto"/>
      </w:pPr>
      <w:r>
        <w:rPr>
          <w:rFonts w:ascii="Times New Roman" w:hAnsi="Times New Roman" w:eastAsia="微软雅黑"/>
          <w:b/>
          <w:i w:val="0"/>
          <w:color w:val="10305A"/>
          <w:sz w:val="21"/>
        </w:rPr>
        <w:t>表 12　候选微生物 AMP 的 MD 主方案</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0305A"/>
          </w:tcPr>
          <w:p>
            <w:pPr>
              <w:jc w:val="center"/>
            </w:pPr>
            <w:r/>
            <w:r>
              <w:rPr>
                <w:rFonts w:ascii="Times New Roman" w:hAnsi="Times New Roman" w:eastAsia="微软雅黑"/>
                <w:b/>
                <w:i w:val="0"/>
                <w:color w:val="FFFFFF"/>
                <w:sz w:val="19"/>
              </w:rPr>
              <w:t>问题</w:t>
            </w:r>
          </w:p>
        </w:tc>
        <w:tc>
          <w:tcPr>
            <w:tcW w:type="dxa" w:w="2379"/>
            <w:shd w:val="clear" w:color="auto" w:fill="10305A"/>
          </w:tcPr>
          <w:p>
            <w:pPr>
              <w:jc w:val="center"/>
            </w:pPr>
            <w:r/>
            <w:r>
              <w:rPr>
                <w:rFonts w:ascii="Times New Roman" w:hAnsi="Times New Roman" w:eastAsia="微软雅黑"/>
                <w:b/>
                <w:i w:val="0"/>
                <w:color w:val="FFFFFF"/>
                <w:sz w:val="19"/>
              </w:rPr>
              <w:t>体系</w:t>
            </w:r>
          </w:p>
        </w:tc>
        <w:tc>
          <w:tcPr>
            <w:tcW w:type="dxa" w:w="2379"/>
            <w:shd w:val="clear" w:color="auto" w:fill="10305A"/>
          </w:tcPr>
          <w:p>
            <w:pPr>
              <w:jc w:val="center"/>
            </w:pPr>
            <w:r/>
            <w:r>
              <w:rPr>
                <w:rFonts w:ascii="Times New Roman" w:hAnsi="Times New Roman" w:eastAsia="微软雅黑"/>
                <w:b/>
                <w:i w:val="0"/>
                <w:color w:val="FFFFFF"/>
                <w:sz w:val="19"/>
              </w:rPr>
              <w:t>方法</w:t>
            </w:r>
          </w:p>
        </w:tc>
        <w:tc>
          <w:tcPr>
            <w:tcW w:type="dxa" w:w="2379"/>
            <w:shd w:val="clear" w:color="auto" w:fill="10305A"/>
          </w:tcPr>
          <w:p>
            <w:pPr>
              <w:jc w:val="center"/>
            </w:pPr>
            <w:r/>
            <w:r>
              <w:rPr>
                <w:rFonts w:ascii="Times New Roman" w:hAnsi="Times New Roman" w:eastAsia="微软雅黑"/>
                <w:b/>
                <w:i w:val="0"/>
                <w:color w:val="FFFFFF"/>
                <w:sz w:val="19"/>
              </w:rPr>
              <w:t>判据</w:t>
            </w:r>
          </w:p>
        </w:tc>
      </w:tr>
      <w:tr>
        <w:tc>
          <w:tcPr>
            <w:tcW w:type="dxa" w:w="2379"/>
          </w:tcPr>
          <w:p>
            <w:pPr>
              <w:spacing w:after="40" w:line="276" w:lineRule="auto"/>
            </w:pPr>
            <w:r/>
            <w:r>
              <w:rPr>
                <w:rFonts w:ascii="Times New Roman" w:hAnsi="Times New Roman" w:eastAsia="宋体"/>
                <w:b w:val="0"/>
                <w:i w:val="0"/>
                <w:color w:val="1F2937"/>
                <w:sz w:val="19"/>
              </w:rPr>
              <w:t>表面识别</w:t>
            </w:r>
          </w:p>
        </w:tc>
        <w:tc>
          <w:tcPr>
            <w:tcW w:type="dxa" w:w="2379"/>
          </w:tcPr>
          <w:p>
            <w:pPr>
              <w:spacing w:after="40" w:line="276" w:lineRule="auto"/>
            </w:pPr>
            <w:r/>
            <w:r>
              <w:rPr>
                <w:rFonts w:ascii="Times New Roman" w:hAnsi="Times New Roman" w:eastAsia="宋体"/>
                <w:b w:val="0"/>
                <w:i w:val="0"/>
                <w:color w:val="1F2937"/>
                <w:sz w:val="19"/>
              </w:rPr>
              <w:t>AMP + LPS 或脂质双层</w:t>
            </w:r>
          </w:p>
        </w:tc>
        <w:tc>
          <w:tcPr>
            <w:tcW w:type="dxa" w:w="2379"/>
          </w:tcPr>
          <w:p>
            <w:pPr>
              <w:spacing w:after="40" w:line="276" w:lineRule="auto"/>
            </w:pPr>
            <w:r/>
            <w:r>
              <w:rPr>
                <w:rFonts w:ascii="Times New Roman" w:hAnsi="Times New Roman" w:eastAsia="宋体"/>
                <w:b w:val="0"/>
                <w:i w:val="0"/>
                <w:color w:val="1F2937"/>
                <w:sz w:val="19"/>
              </w:rPr>
              <w:t>全原子 CHARMM36m/CHARMM36，150 mM NaCl，310 K，3-5 条重复各 0.5-1 μs</w:t>
            </w:r>
          </w:p>
        </w:tc>
        <w:tc>
          <w:tcPr>
            <w:tcW w:type="dxa" w:w="2379"/>
          </w:tcPr>
          <w:p>
            <w:pPr>
              <w:spacing w:after="40" w:line="276" w:lineRule="auto"/>
            </w:pPr>
            <w:r/>
            <w:r>
              <w:rPr>
                <w:rFonts w:ascii="Times New Roman" w:hAnsi="Times New Roman" w:eastAsia="宋体"/>
                <w:b w:val="0"/>
                <w:i w:val="0"/>
                <w:color w:val="1F2937"/>
                <w:sz w:val="19"/>
              </w:rPr>
              <w:t>接触占有率、盐桥、LPS 磷酸相互作用</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跨膜/插膜</w:t>
            </w:r>
          </w:p>
        </w:tc>
        <w:tc>
          <w:tcPr>
            <w:tcW w:type="dxa" w:w="2379"/>
            <w:shd w:val="clear" w:color="auto" w:fill="F2F5F9"/>
          </w:tcPr>
          <w:p>
            <w:pPr>
              <w:spacing w:after="40" w:line="276" w:lineRule="auto"/>
            </w:pPr>
            <w:r/>
            <w:r>
              <w:rPr>
                <w:rFonts w:ascii="Times New Roman" w:hAnsi="Times New Roman" w:eastAsia="宋体"/>
                <w:b w:val="0"/>
                <w:i w:val="0"/>
                <w:color w:val="1F2937"/>
                <w:sz w:val="19"/>
              </w:rPr>
              <w:t>AMP + POPE/POPG 或外膜模型</w:t>
            </w:r>
          </w:p>
        </w:tc>
        <w:tc>
          <w:tcPr>
            <w:tcW w:type="dxa" w:w="2379"/>
            <w:shd w:val="clear" w:color="auto" w:fill="F2F5F9"/>
          </w:tcPr>
          <w:p>
            <w:pPr>
              <w:spacing w:after="40" w:line="276" w:lineRule="auto"/>
            </w:pPr>
            <w:r/>
            <w:r>
              <w:rPr>
                <w:rFonts w:ascii="Times New Roman" w:hAnsi="Times New Roman" w:eastAsia="宋体"/>
                <w:b w:val="0"/>
                <w:i w:val="0"/>
                <w:color w:val="1F2937"/>
                <w:sz w:val="19"/>
              </w:rPr>
              <w:t>umbrella 30-60 窗，间距 0.1-0.2 nm，WHAM/MBAR</w:t>
            </w:r>
          </w:p>
        </w:tc>
        <w:tc>
          <w:tcPr>
            <w:tcW w:type="dxa" w:w="2379"/>
            <w:shd w:val="clear" w:color="auto" w:fill="F2F5F9"/>
          </w:tcPr>
          <w:p>
            <w:pPr>
              <w:spacing w:after="40" w:line="276" w:lineRule="auto"/>
            </w:pPr>
            <w:r/>
            <w:r>
              <w:rPr>
                <w:rFonts w:ascii="Times New Roman" w:hAnsi="Times New Roman" w:eastAsia="宋体"/>
                <w:b w:val="0"/>
                <w:i w:val="0"/>
                <w:color w:val="1F2937"/>
                <w:sz w:val="19"/>
              </w:rPr>
              <w:t>PMF 最小值和穿膜势垒</w:t>
            </w:r>
          </w:p>
        </w:tc>
      </w:tr>
      <w:tr>
        <w:tc>
          <w:tcPr>
            <w:tcW w:type="dxa" w:w="2379"/>
          </w:tcPr>
          <w:p>
            <w:pPr>
              <w:spacing w:after="40" w:line="276" w:lineRule="auto"/>
            </w:pPr>
            <w:r/>
            <w:r>
              <w:rPr>
                <w:rFonts w:ascii="Times New Roman" w:hAnsi="Times New Roman" w:eastAsia="宋体"/>
                <w:b w:val="0"/>
                <w:i w:val="0"/>
                <w:color w:val="1F2937"/>
                <w:sz w:val="19"/>
              </w:rPr>
              <w:t>孔形成</w:t>
            </w:r>
          </w:p>
        </w:tc>
        <w:tc>
          <w:tcPr>
            <w:tcW w:type="dxa" w:w="2379"/>
          </w:tcPr>
          <w:p>
            <w:pPr>
              <w:spacing w:after="40" w:line="276" w:lineRule="auto"/>
            </w:pPr>
            <w:r/>
            <w:r>
              <w:rPr>
                <w:rFonts w:ascii="Times New Roman" w:hAnsi="Times New Roman" w:eastAsia="宋体"/>
                <w:b w:val="0"/>
                <w:i w:val="0"/>
                <w:color w:val="1F2937"/>
                <w:sz w:val="19"/>
              </w:rPr>
              <w:t>多肽 + 大膜或粗粒化膜</w:t>
            </w:r>
          </w:p>
        </w:tc>
        <w:tc>
          <w:tcPr>
            <w:tcW w:type="dxa" w:w="2379"/>
          </w:tcPr>
          <w:p>
            <w:pPr>
              <w:spacing w:after="40" w:line="276" w:lineRule="auto"/>
            </w:pPr>
            <w:r/>
            <w:r>
              <w:rPr>
                <w:rFonts w:ascii="Times New Roman" w:hAnsi="Times New Roman" w:eastAsia="宋体"/>
                <w:b w:val="0"/>
                <w:i w:val="0"/>
                <w:color w:val="1F2937"/>
                <w:sz w:val="19"/>
              </w:rPr>
              <w:t>Martini 3 先找路径，再用全原子局部复核</w:t>
            </w:r>
          </w:p>
        </w:tc>
        <w:tc>
          <w:tcPr>
            <w:tcW w:type="dxa" w:w="2379"/>
          </w:tcPr>
          <w:p>
            <w:pPr>
              <w:spacing w:after="40" w:line="276" w:lineRule="auto"/>
            </w:pPr>
            <w:r/>
            <w:r>
              <w:rPr>
                <w:rFonts w:ascii="Times New Roman" w:hAnsi="Times New Roman" w:eastAsia="宋体"/>
                <w:b w:val="0"/>
                <w:i w:val="0"/>
                <w:color w:val="1F2937"/>
                <w:sz w:val="19"/>
              </w:rPr>
              <w:t>孔半径、脂质缺陷、离子通量</w:t>
            </w:r>
          </w:p>
        </w:tc>
      </w:tr>
      <w:tr>
        <w:tc>
          <w:tcPr>
            <w:tcW w:type="dxa" w:w="2379"/>
            <w:shd w:val="clear" w:color="auto" w:fill="F2F5F9"/>
          </w:tcPr>
          <w:p>
            <w:pPr>
              <w:spacing w:after="40" w:line="276" w:lineRule="auto"/>
            </w:pPr>
            <w:r/>
            <w:r>
              <w:rPr>
                <w:rFonts w:ascii="Times New Roman" w:hAnsi="Times New Roman" w:eastAsia="宋体"/>
                <w:b w:val="0"/>
                <w:i w:val="0"/>
                <w:color w:val="1F2937"/>
                <w:sz w:val="19"/>
              </w:rPr>
              <w:t>选择性</w:t>
            </w:r>
          </w:p>
        </w:tc>
        <w:tc>
          <w:tcPr>
            <w:tcW w:type="dxa" w:w="2379"/>
            <w:shd w:val="clear" w:color="auto" w:fill="F2F5F9"/>
          </w:tcPr>
          <w:p>
            <w:pPr>
              <w:spacing w:after="40" w:line="276" w:lineRule="auto"/>
            </w:pPr>
            <w:r/>
            <w:r>
              <w:rPr>
                <w:rFonts w:ascii="Times New Roman" w:hAnsi="Times New Roman" w:eastAsia="宋体"/>
                <w:b w:val="0"/>
                <w:i w:val="0"/>
                <w:color w:val="1F2937"/>
                <w:sz w:val="19"/>
              </w:rPr>
              <w:t>健康相关菌膜 vs AD 相关菌膜</w:t>
            </w:r>
          </w:p>
        </w:tc>
        <w:tc>
          <w:tcPr>
            <w:tcW w:type="dxa" w:w="2379"/>
            <w:shd w:val="clear" w:color="auto" w:fill="F2F5F9"/>
          </w:tcPr>
          <w:p>
            <w:pPr>
              <w:spacing w:after="40" w:line="276" w:lineRule="auto"/>
            </w:pPr>
            <w:r/>
            <w:r>
              <w:rPr>
                <w:rFonts w:ascii="Times New Roman" w:hAnsi="Times New Roman" w:eastAsia="宋体"/>
                <w:b w:val="0"/>
                <w:i w:val="0"/>
                <w:color w:val="1F2937"/>
                <w:sz w:val="19"/>
              </w:rPr>
              <w:t>相同肽浓度、离子和膜面积，盲法分析</w:t>
            </w:r>
          </w:p>
        </w:tc>
        <w:tc>
          <w:tcPr>
            <w:tcW w:type="dxa" w:w="2379"/>
            <w:shd w:val="clear" w:color="auto" w:fill="F2F5F9"/>
          </w:tcPr>
          <w:p>
            <w:pPr>
              <w:spacing w:after="40" w:line="276" w:lineRule="auto"/>
            </w:pPr>
            <w:r/>
            <w:r>
              <w:rPr>
                <w:rFonts w:ascii="Times New Roman" w:hAnsi="Times New Roman" w:eastAsia="宋体"/>
                <w:b w:val="0"/>
                <w:i w:val="0"/>
                <w:color w:val="1F2937"/>
                <w:sz w:val="19"/>
              </w:rPr>
              <w:t>差异不能只由膜面积或电荷造成</w:t>
            </w:r>
          </w:p>
        </w:tc>
      </w:tr>
      <w:tr>
        <w:tc>
          <w:tcPr>
            <w:tcW w:type="dxa" w:w="2379"/>
          </w:tcPr>
          <w:p>
            <w:pPr>
              <w:spacing w:after="40" w:line="276" w:lineRule="auto"/>
            </w:pPr>
            <w:r/>
            <w:r>
              <w:rPr>
                <w:rFonts w:ascii="Times New Roman" w:hAnsi="Times New Roman" w:eastAsia="宋体"/>
                <w:b w:val="0"/>
                <w:i w:val="0"/>
                <w:color w:val="1F2937"/>
                <w:sz w:val="19"/>
              </w:rPr>
              <w:t>LPS 竞争</w:t>
            </w:r>
          </w:p>
        </w:tc>
        <w:tc>
          <w:tcPr>
            <w:tcW w:type="dxa" w:w="2379"/>
          </w:tcPr>
          <w:p>
            <w:pPr>
              <w:spacing w:after="40" w:line="276" w:lineRule="auto"/>
            </w:pPr>
            <w:r/>
            <w:r>
              <w:rPr>
                <w:rFonts w:ascii="Times New Roman" w:hAnsi="Times New Roman" w:eastAsia="宋体"/>
                <w:b w:val="0"/>
                <w:i w:val="0"/>
                <w:color w:val="1F2937"/>
                <w:sz w:val="19"/>
              </w:rPr>
              <w:t>lipid A、Mg2+/Ca2+、AMP</w:t>
            </w:r>
          </w:p>
        </w:tc>
        <w:tc>
          <w:tcPr>
            <w:tcW w:type="dxa" w:w="2379"/>
          </w:tcPr>
          <w:p>
            <w:pPr>
              <w:spacing w:after="40" w:line="276" w:lineRule="auto"/>
            </w:pPr>
            <w:r/>
            <w:r>
              <w:rPr>
                <w:rFonts w:ascii="Times New Roman" w:hAnsi="Times New Roman" w:eastAsia="宋体"/>
                <w:b w:val="0"/>
                <w:i w:val="0"/>
                <w:color w:val="1F2937"/>
                <w:sz w:val="19"/>
              </w:rPr>
              <w:t>MD + DFT/SAPT 片段分解</w:t>
            </w:r>
          </w:p>
        </w:tc>
        <w:tc>
          <w:tcPr>
            <w:tcW w:type="dxa" w:w="2379"/>
          </w:tcPr>
          <w:p>
            <w:pPr>
              <w:spacing w:after="40" w:line="276" w:lineRule="auto"/>
            </w:pPr>
            <w:r/>
            <w:r>
              <w:rPr>
                <w:rFonts w:ascii="Times New Roman" w:hAnsi="Times New Roman" w:eastAsia="宋体"/>
                <w:b w:val="0"/>
                <w:i w:val="0"/>
                <w:color w:val="1F2937"/>
                <w:sz w:val="19"/>
              </w:rPr>
              <w:t>静电、离子竞争和水桥贡献</w:t>
            </w:r>
          </w:p>
        </w:tc>
      </w:tr>
    </w:tbl>
    <w:p>
      <w:pPr>
        <w:spacing w:after="40"/>
      </w:pPr>
    </w:p>
    <w:p>
      <w:pPr>
        <w:spacing w:before="240" w:after="100" w:line="288" w:lineRule="auto"/>
      </w:pPr>
      <w:r>
        <w:rPr>
          <w:rFonts w:ascii="Times New Roman" w:hAnsi="Times New Roman" w:eastAsia="微软雅黑"/>
          <w:b/>
          <w:i w:val="0"/>
          <w:color w:val="10305A"/>
          <w:sz w:val="27"/>
        </w:rPr>
        <w:t>6.2 第二优先级：候选 AMP 与免疫受体/炎症信号</w:t>
      </w:r>
    </w:p>
    <w:p>
      <w:pPr>
        <w:spacing w:before="0" w:after="120" w:line="336" w:lineRule="auto"/>
        <w:ind w:firstLine="440"/>
      </w:pPr>
      <w:r>
        <w:rPr>
          <w:rFonts w:ascii="Times New Roman" w:hAnsi="Times New Roman" w:eastAsia="宋体"/>
          <w:b w:val="0"/>
          <w:i w:val="0"/>
          <w:color w:val="1F2937"/>
          <w:sz w:val="22"/>
        </w:rPr>
        <w:t>如果候选肽与 AD 富集菌、LPS 或炎症指标同向，才追加 TLR4/MD-2、FPR2 或其他受体的对接与 MD。这里的目的不是把 docking score 当作受体激动证据，而是定位是否存在稳定界面，再结合受体构象、界面自由能、受体聚集和细胞信号模型提出方向性假设。宿主 AMP LL-37 促进 CLIC1 膜转位并在动物模型中产生 AD 样表型，是“宿主 AMP 直接病理作用”的强模板，但不等同于微生物源候选肽已经具备同样证据。[9，59，60]</w:t>
      </w:r>
    </w:p>
    <w:p>
      <w:pPr>
        <w:spacing w:before="160" w:after="80" w:line="324" w:lineRule="auto"/>
      </w:pPr>
      <w:r>
        <w:rPr>
          <w:rFonts w:ascii="Times New Roman" w:hAnsi="Times New Roman" w:eastAsia="微软雅黑"/>
          <w:b/>
          <w:i w:val="0"/>
          <w:color w:val="10305A"/>
          <w:sz w:val="21"/>
        </w:rPr>
        <w:t>表 13　受体/炎症模拟的正确输出</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输出</w:t>
            </w:r>
          </w:p>
        </w:tc>
        <w:tc>
          <w:tcPr>
            <w:tcW w:type="dxa" w:w="3173"/>
            <w:shd w:val="clear" w:color="auto" w:fill="10305A"/>
          </w:tcPr>
          <w:p>
            <w:pPr>
              <w:jc w:val="center"/>
            </w:pPr>
            <w:r/>
            <w:r>
              <w:rPr>
                <w:rFonts w:ascii="Times New Roman" w:hAnsi="Times New Roman" w:eastAsia="微软雅黑"/>
                <w:b/>
                <w:i w:val="0"/>
                <w:color w:val="FFFFFF"/>
                <w:sz w:val="19"/>
              </w:rPr>
              <w:t>可解释为</w:t>
            </w:r>
          </w:p>
        </w:tc>
        <w:tc>
          <w:tcPr>
            <w:tcW w:type="dxa" w:w="3173"/>
            <w:shd w:val="clear" w:color="auto" w:fill="10305A"/>
          </w:tcPr>
          <w:p>
            <w:pPr>
              <w:jc w:val="center"/>
            </w:pPr>
            <w:r/>
            <w:r>
              <w:rPr>
                <w:rFonts w:ascii="Times New Roman" w:hAnsi="Times New Roman" w:eastAsia="微软雅黑"/>
                <w:b/>
                <w:i w:val="0"/>
                <w:color w:val="FFFFFF"/>
                <w:sz w:val="19"/>
              </w:rPr>
              <w:t>不可解释为</w:t>
            </w:r>
          </w:p>
        </w:tc>
      </w:tr>
      <w:tr>
        <w:tc>
          <w:tcPr>
            <w:tcW w:type="dxa" w:w="3173"/>
          </w:tcPr>
          <w:p>
            <w:pPr>
              <w:spacing w:after="40" w:line="276" w:lineRule="auto"/>
            </w:pPr>
            <w:r/>
            <w:r>
              <w:rPr>
                <w:rFonts w:ascii="Times New Roman" w:hAnsi="Times New Roman" w:eastAsia="宋体"/>
                <w:b w:val="0"/>
                <w:i w:val="0"/>
                <w:color w:val="1F2937"/>
                <w:sz w:val="19"/>
              </w:rPr>
              <w:t>界面接触和驻留时间</w:t>
            </w:r>
          </w:p>
        </w:tc>
        <w:tc>
          <w:tcPr>
            <w:tcW w:type="dxa" w:w="3173"/>
          </w:tcPr>
          <w:p>
            <w:pPr>
              <w:spacing w:after="40" w:line="276" w:lineRule="auto"/>
            </w:pPr>
            <w:r/>
            <w:r>
              <w:rPr>
                <w:rFonts w:ascii="Times New Roman" w:hAnsi="Times New Roman" w:eastAsia="宋体"/>
                <w:b w:val="0"/>
                <w:i w:val="0"/>
                <w:color w:val="1F2937"/>
                <w:sz w:val="19"/>
              </w:rPr>
              <w:t>候选肽可能与受体表面相容</w:t>
            </w:r>
          </w:p>
        </w:tc>
        <w:tc>
          <w:tcPr>
            <w:tcW w:type="dxa" w:w="3173"/>
          </w:tcPr>
          <w:p>
            <w:pPr>
              <w:spacing w:after="40" w:line="276" w:lineRule="auto"/>
            </w:pPr>
            <w:r/>
            <w:r>
              <w:rPr>
                <w:rFonts w:ascii="Times New Roman" w:hAnsi="Times New Roman" w:eastAsia="宋体"/>
                <w:b w:val="0"/>
                <w:i w:val="0"/>
                <w:color w:val="1F2937"/>
                <w:sz w:val="19"/>
              </w:rPr>
              <w:t>激动受体</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MM-PBSA 或 PMF</w:t>
            </w:r>
          </w:p>
        </w:tc>
        <w:tc>
          <w:tcPr>
            <w:tcW w:type="dxa" w:w="3173"/>
            <w:shd w:val="clear" w:color="auto" w:fill="F2F5F9"/>
          </w:tcPr>
          <w:p>
            <w:pPr>
              <w:spacing w:after="40" w:line="276" w:lineRule="auto"/>
            </w:pPr>
            <w:r/>
            <w:r>
              <w:rPr>
                <w:rFonts w:ascii="Times New Roman" w:hAnsi="Times New Roman" w:eastAsia="宋体"/>
                <w:b w:val="0"/>
                <w:i w:val="0"/>
                <w:color w:val="1F2937"/>
                <w:sz w:val="19"/>
              </w:rPr>
              <w:t>某一构象的相互作用趋势</w:t>
            </w:r>
          </w:p>
        </w:tc>
        <w:tc>
          <w:tcPr>
            <w:tcW w:type="dxa" w:w="3173"/>
            <w:shd w:val="clear" w:color="auto" w:fill="F2F5F9"/>
          </w:tcPr>
          <w:p>
            <w:pPr>
              <w:spacing w:after="40" w:line="276" w:lineRule="auto"/>
            </w:pPr>
            <w:r/>
            <w:r>
              <w:rPr>
                <w:rFonts w:ascii="Times New Roman" w:hAnsi="Times New Roman" w:eastAsia="宋体"/>
                <w:b w:val="0"/>
                <w:i w:val="0"/>
                <w:color w:val="1F2937"/>
                <w:sz w:val="19"/>
              </w:rPr>
              <w:t>细胞内信号已经启动</w:t>
            </w:r>
          </w:p>
        </w:tc>
      </w:tr>
      <w:tr>
        <w:tc>
          <w:tcPr>
            <w:tcW w:type="dxa" w:w="3173"/>
          </w:tcPr>
          <w:p>
            <w:pPr>
              <w:spacing w:after="40" w:line="276" w:lineRule="auto"/>
            </w:pPr>
            <w:r/>
            <w:r>
              <w:rPr>
                <w:rFonts w:ascii="Times New Roman" w:hAnsi="Times New Roman" w:eastAsia="宋体"/>
                <w:b w:val="0"/>
                <w:i w:val="0"/>
                <w:color w:val="1F2937"/>
                <w:sz w:val="19"/>
              </w:rPr>
              <w:t>受体构象变化</w:t>
            </w:r>
          </w:p>
        </w:tc>
        <w:tc>
          <w:tcPr>
            <w:tcW w:type="dxa" w:w="3173"/>
          </w:tcPr>
          <w:p>
            <w:pPr>
              <w:spacing w:after="40" w:line="276" w:lineRule="auto"/>
            </w:pPr>
            <w:r/>
            <w:r>
              <w:rPr>
                <w:rFonts w:ascii="Times New Roman" w:hAnsi="Times New Roman" w:eastAsia="宋体"/>
                <w:b w:val="0"/>
                <w:i w:val="0"/>
                <w:color w:val="1F2937"/>
                <w:sz w:val="19"/>
              </w:rPr>
              <w:t>可能影响配体识别或聚集</w:t>
            </w:r>
          </w:p>
        </w:tc>
        <w:tc>
          <w:tcPr>
            <w:tcW w:type="dxa" w:w="3173"/>
          </w:tcPr>
          <w:p>
            <w:pPr>
              <w:spacing w:after="40" w:line="276" w:lineRule="auto"/>
            </w:pPr>
            <w:r/>
            <w:r>
              <w:rPr>
                <w:rFonts w:ascii="Times New Roman" w:hAnsi="Times New Roman" w:eastAsia="宋体"/>
                <w:b w:val="0"/>
                <w:i w:val="0"/>
                <w:color w:val="1F2937"/>
                <w:sz w:val="19"/>
              </w:rPr>
              <w:t>一定产生 IL-6/TNF</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ODE/网络模型放大</w:t>
            </w:r>
          </w:p>
        </w:tc>
        <w:tc>
          <w:tcPr>
            <w:tcW w:type="dxa" w:w="3173"/>
            <w:shd w:val="clear" w:color="auto" w:fill="F2F5F9"/>
          </w:tcPr>
          <w:p>
            <w:pPr>
              <w:spacing w:after="40" w:line="276" w:lineRule="auto"/>
            </w:pPr>
            <w:r/>
            <w:r>
              <w:rPr>
                <w:rFonts w:ascii="Times New Roman" w:hAnsi="Times New Roman" w:eastAsia="宋体"/>
                <w:b w:val="0"/>
                <w:i w:val="0"/>
                <w:color w:val="1F2937"/>
                <w:sz w:val="19"/>
              </w:rPr>
              <w:t>在假设参数下的系统响应</w:t>
            </w:r>
          </w:p>
        </w:tc>
        <w:tc>
          <w:tcPr>
            <w:tcW w:type="dxa" w:w="3173"/>
            <w:shd w:val="clear" w:color="auto" w:fill="F2F5F9"/>
          </w:tcPr>
          <w:p>
            <w:pPr>
              <w:spacing w:after="40" w:line="276" w:lineRule="auto"/>
            </w:pPr>
            <w:r/>
            <w:r>
              <w:rPr>
                <w:rFonts w:ascii="Times New Roman" w:hAnsi="Times New Roman" w:eastAsia="宋体"/>
                <w:b w:val="0"/>
                <w:i w:val="0"/>
                <w:color w:val="1F2937"/>
                <w:sz w:val="19"/>
              </w:rPr>
              <w:t>真实人群中的炎症强度</w:t>
            </w:r>
          </w:p>
        </w:tc>
      </w:tr>
    </w:tbl>
    <w:p>
      <w:pPr>
        <w:spacing w:after="40"/>
      </w:pPr>
    </w:p>
    <w:p>
      <w:pPr>
        <w:spacing w:before="240" w:after="100" w:line="288" w:lineRule="auto"/>
      </w:pPr>
      <w:r>
        <w:rPr>
          <w:rFonts w:ascii="Times New Roman" w:hAnsi="Times New Roman" w:eastAsia="微软雅黑"/>
          <w:b/>
          <w:i w:val="0"/>
          <w:color w:val="10305A"/>
          <w:sz w:val="27"/>
        </w:rPr>
        <w:t>6.3 第三优先级：Aβ 与 BBB 只做条件性验证</w:t>
      </w:r>
    </w:p>
    <w:p>
      <w:pPr>
        <w:spacing w:before="0" w:after="120" w:line="336" w:lineRule="auto"/>
        <w:ind w:firstLine="440"/>
      </w:pPr>
      <w:r>
        <w:rPr>
          <w:rFonts w:ascii="Times New Roman" w:hAnsi="Times New Roman" w:eastAsia="宋体"/>
          <w:b w:val="0"/>
          <w:i w:val="0"/>
          <w:color w:val="1F2937"/>
          <w:sz w:val="22"/>
        </w:rPr>
        <w:t>只有当候选肽满足差异稳健、表达/暴露合理、来源菌和炎症路径一致时，才做 Aβ 或 BBB 的模拟。Aβ 模型应分别考虑单体、寡聚体和纤维片段，不能只用一个纤维结构；BBB 模型应先计算膜 PMF 和渗透系数，再考虑 PEPT2、LRP1、RAGE 等转运或受体途径。[61，62，63，64，65，66，67，68，69]</w:t>
      </w:r>
    </w:p>
    <w:p>
      <w:pPr>
        <w:spacing w:before="160" w:after="80" w:line="324" w:lineRule="auto"/>
      </w:pPr>
      <w:r>
        <w:rPr>
          <w:rFonts w:ascii="Times New Roman" w:hAnsi="Times New Roman" w:eastAsia="微软雅黑"/>
          <w:b/>
          <w:i w:val="0"/>
          <w:color w:val="10305A"/>
          <w:sz w:val="21"/>
        </w:rPr>
        <w:t>表 14　Aβ/BBB 追加分析的进入条件</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进入条件</w:t>
            </w:r>
          </w:p>
        </w:tc>
        <w:tc>
          <w:tcPr>
            <w:tcW w:type="dxa" w:w="3173"/>
            <w:shd w:val="clear" w:color="auto" w:fill="10305A"/>
          </w:tcPr>
          <w:p>
            <w:pPr>
              <w:jc w:val="center"/>
            </w:pPr>
            <w:r/>
            <w:r>
              <w:rPr>
                <w:rFonts w:ascii="Times New Roman" w:hAnsi="Times New Roman" w:eastAsia="微软雅黑"/>
                <w:b/>
                <w:i w:val="0"/>
                <w:color w:val="FFFFFF"/>
                <w:sz w:val="19"/>
              </w:rPr>
              <w:t>必须有</w:t>
            </w:r>
          </w:p>
        </w:tc>
        <w:tc>
          <w:tcPr>
            <w:tcW w:type="dxa" w:w="3173"/>
            <w:shd w:val="clear" w:color="auto" w:fill="10305A"/>
          </w:tcPr>
          <w:p>
            <w:pPr>
              <w:jc w:val="center"/>
            </w:pPr>
            <w:r/>
            <w:r>
              <w:rPr>
                <w:rFonts w:ascii="Times New Roman" w:hAnsi="Times New Roman" w:eastAsia="微软雅黑"/>
                <w:b/>
                <w:i w:val="0"/>
                <w:color w:val="FFFFFF"/>
                <w:sz w:val="19"/>
              </w:rPr>
              <w:t>没有时怎么写</w:t>
            </w:r>
          </w:p>
        </w:tc>
      </w:tr>
      <w:tr>
        <w:tc>
          <w:tcPr>
            <w:tcW w:type="dxa" w:w="3173"/>
          </w:tcPr>
          <w:p>
            <w:pPr>
              <w:spacing w:after="40" w:line="276" w:lineRule="auto"/>
            </w:pPr>
            <w:r/>
            <w:r>
              <w:rPr>
                <w:rFonts w:ascii="Times New Roman" w:hAnsi="Times New Roman" w:eastAsia="宋体"/>
                <w:b w:val="0"/>
                <w:i w:val="0"/>
                <w:color w:val="1F2937"/>
                <w:sz w:val="19"/>
              </w:rPr>
              <w:t>区室合理性</w:t>
            </w:r>
          </w:p>
        </w:tc>
        <w:tc>
          <w:tcPr>
            <w:tcW w:type="dxa" w:w="3173"/>
          </w:tcPr>
          <w:p>
            <w:pPr>
              <w:spacing w:after="40" w:line="276" w:lineRule="auto"/>
            </w:pPr>
            <w:r/>
            <w:r>
              <w:rPr>
                <w:rFonts w:ascii="Times New Roman" w:hAnsi="Times New Roman" w:eastAsia="宋体"/>
                <w:b w:val="0"/>
                <w:i w:val="0"/>
                <w:color w:val="1F2937"/>
                <w:sz w:val="19"/>
              </w:rPr>
              <w:t>粪便/血液/肽组学或分泌证据</w:t>
            </w:r>
          </w:p>
        </w:tc>
        <w:tc>
          <w:tcPr>
            <w:tcW w:type="dxa" w:w="3173"/>
          </w:tcPr>
          <w:p>
            <w:pPr>
              <w:spacing w:after="40" w:line="276" w:lineRule="auto"/>
            </w:pPr>
            <w:r/>
            <w:r>
              <w:rPr>
                <w:rFonts w:ascii="Times New Roman" w:hAnsi="Times New Roman" w:eastAsia="宋体"/>
                <w:b w:val="0"/>
                <w:i w:val="0"/>
                <w:color w:val="1F2937"/>
                <w:sz w:val="19"/>
              </w:rPr>
              <w:t>只能写远端关联，不能写直接入脑</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病程关联</w:t>
            </w:r>
          </w:p>
        </w:tc>
        <w:tc>
          <w:tcPr>
            <w:tcW w:type="dxa" w:w="3173"/>
            <w:shd w:val="clear" w:color="auto" w:fill="F2F5F9"/>
          </w:tcPr>
          <w:p>
            <w:pPr>
              <w:spacing w:after="40" w:line="276" w:lineRule="auto"/>
            </w:pPr>
            <w:r/>
            <w:r>
              <w:rPr>
                <w:rFonts w:ascii="Times New Roman" w:hAnsi="Times New Roman" w:eastAsia="宋体"/>
                <w:b w:val="0"/>
                <w:i w:val="0"/>
                <w:color w:val="1F2937"/>
                <w:sz w:val="19"/>
              </w:rPr>
              <w:t>AD 差异和分期趋势稳定</w:t>
            </w:r>
          </w:p>
        </w:tc>
        <w:tc>
          <w:tcPr>
            <w:tcW w:type="dxa" w:w="3173"/>
            <w:shd w:val="clear" w:color="auto" w:fill="F2F5F9"/>
          </w:tcPr>
          <w:p>
            <w:pPr>
              <w:spacing w:after="40" w:line="276" w:lineRule="auto"/>
            </w:pPr>
            <w:r/>
            <w:r>
              <w:rPr>
                <w:rFonts w:ascii="Times New Roman" w:hAnsi="Times New Roman" w:eastAsia="宋体"/>
                <w:b w:val="0"/>
                <w:i w:val="0"/>
                <w:color w:val="1F2937"/>
                <w:sz w:val="19"/>
              </w:rPr>
              <w:t>只能写预测候选</w:t>
            </w:r>
          </w:p>
        </w:tc>
      </w:tr>
      <w:tr>
        <w:tc>
          <w:tcPr>
            <w:tcW w:type="dxa" w:w="3173"/>
          </w:tcPr>
          <w:p>
            <w:pPr>
              <w:spacing w:after="40" w:line="276" w:lineRule="auto"/>
            </w:pPr>
            <w:r/>
            <w:r>
              <w:rPr>
                <w:rFonts w:ascii="Times New Roman" w:hAnsi="Times New Roman" w:eastAsia="宋体"/>
                <w:b w:val="0"/>
                <w:i w:val="0"/>
                <w:color w:val="1F2937"/>
                <w:sz w:val="19"/>
              </w:rPr>
              <w:t>结构合理性</w:t>
            </w:r>
          </w:p>
        </w:tc>
        <w:tc>
          <w:tcPr>
            <w:tcW w:type="dxa" w:w="3173"/>
          </w:tcPr>
          <w:p>
            <w:pPr>
              <w:spacing w:after="40" w:line="276" w:lineRule="auto"/>
            </w:pPr>
            <w:r/>
            <w:r>
              <w:rPr>
                <w:rFonts w:ascii="Times New Roman" w:hAnsi="Times New Roman" w:eastAsia="宋体"/>
                <w:b w:val="0"/>
                <w:i w:val="0"/>
                <w:color w:val="1F2937"/>
                <w:sz w:val="19"/>
              </w:rPr>
              <w:t>候选肽结构、质子化和聚集态可复现</w:t>
            </w:r>
          </w:p>
        </w:tc>
        <w:tc>
          <w:tcPr>
            <w:tcW w:type="dxa" w:w="3173"/>
          </w:tcPr>
          <w:p>
            <w:pPr>
              <w:spacing w:after="40" w:line="276" w:lineRule="auto"/>
            </w:pPr>
            <w:r/>
            <w:r>
              <w:rPr>
                <w:rFonts w:ascii="Times New Roman" w:hAnsi="Times New Roman" w:eastAsia="宋体"/>
                <w:b w:val="0"/>
                <w:i w:val="0"/>
                <w:color w:val="1F2937"/>
                <w:sz w:val="19"/>
              </w:rPr>
              <w:t>不把一次 docking 作为证据</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方向性读数</w:t>
            </w:r>
          </w:p>
        </w:tc>
        <w:tc>
          <w:tcPr>
            <w:tcW w:type="dxa" w:w="3173"/>
            <w:shd w:val="clear" w:color="auto" w:fill="F2F5F9"/>
          </w:tcPr>
          <w:p>
            <w:pPr>
              <w:spacing w:after="40" w:line="276" w:lineRule="auto"/>
            </w:pPr>
            <w:r/>
            <w:r>
              <w:rPr>
                <w:rFonts w:ascii="Times New Roman" w:hAnsi="Times New Roman" w:eastAsia="宋体"/>
                <w:b w:val="0"/>
                <w:i w:val="0"/>
                <w:color w:val="1F2937"/>
                <w:sz w:val="19"/>
              </w:rPr>
              <w:t>寡聚体、膜、炎症至少一个病理方向读数</w:t>
            </w:r>
          </w:p>
        </w:tc>
        <w:tc>
          <w:tcPr>
            <w:tcW w:type="dxa" w:w="3173"/>
            <w:shd w:val="clear" w:color="auto" w:fill="F2F5F9"/>
          </w:tcPr>
          <w:p>
            <w:pPr>
              <w:spacing w:after="40" w:line="276" w:lineRule="auto"/>
            </w:pPr>
            <w:r/>
            <w:r>
              <w:rPr>
                <w:rFonts w:ascii="Times New Roman" w:hAnsi="Times New Roman" w:eastAsia="宋体"/>
                <w:b w:val="0"/>
                <w:i w:val="0"/>
                <w:color w:val="1F2937"/>
                <w:sz w:val="19"/>
              </w:rPr>
              <w:t>结合结果标为机制未知</w:t>
            </w:r>
          </w:p>
        </w:tc>
      </w:tr>
      <w:tr>
        <w:tc>
          <w:tcPr>
            <w:tcW w:type="dxa" w:w="3173"/>
          </w:tcPr>
          <w:p>
            <w:pPr>
              <w:spacing w:after="40" w:line="276" w:lineRule="auto"/>
            </w:pPr>
            <w:r/>
            <w:r>
              <w:rPr>
                <w:rFonts w:ascii="Times New Roman" w:hAnsi="Times New Roman" w:eastAsia="宋体"/>
                <w:b w:val="0"/>
                <w:i w:val="0"/>
                <w:color w:val="1F2937"/>
                <w:sz w:val="19"/>
              </w:rPr>
              <w:t>独立验证</w:t>
            </w:r>
          </w:p>
        </w:tc>
        <w:tc>
          <w:tcPr>
            <w:tcW w:type="dxa" w:w="3173"/>
          </w:tcPr>
          <w:p>
            <w:pPr>
              <w:spacing w:after="40" w:line="276" w:lineRule="auto"/>
            </w:pPr>
            <w:r/>
            <w:r>
              <w:rPr>
                <w:rFonts w:ascii="Times New Roman" w:hAnsi="Times New Roman" w:eastAsia="宋体"/>
                <w:b w:val="0"/>
                <w:i w:val="0"/>
                <w:color w:val="1F2937"/>
                <w:sz w:val="19"/>
              </w:rPr>
              <w:t>公开数据、蛋白/肽组学或实验验证</w:t>
            </w:r>
          </w:p>
        </w:tc>
        <w:tc>
          <w:tcPr>
            <w:tcW w:type="dxa" w:w="3173"/>
          </w:tcPr>
          <w:p>
            <w:pPr>
              <w:spacing w:after="40" w:line="276" w:lineRule="auto"/>
            </w:pPr>
            <w:r/>
            <w:r>
              <w:rPr>
                <w:rFonts w:ascii="Times New Roman" w:hAnsi="Times New Roman" w:eastAsia="宋体"/>
                <w:b w:val="0"/>
                <w:i w:val="0"/>
                <w:color w:val="1F2937"/>
                <w:sz w:val="19"/>
              </w:rPr>
              <w:t>结论降为待验证假说</w:t>
            </w:r>
          </w:p>
        </w:tc>
      </w:tr>
    </w:tbl>
    <w:p>
      <w:pPr>
        <w:spacing w:after="40"/>
      </w:pPr>
    </w:p>
    <w:p>
      <w:pPr>
        <w:spacing w:before="240" w:after="100" w:line="288" w:lineRule="auto"/>
      </w:pPr>
      <w:r>
        <w:rPr>
          <w:rFonts w:ascii="Times New Roman" w:hAnsi="Times New Roman" w:eastAsia="微软雅黑"/>
          <w:b/>
          <w:i w:val="0"/>
          <w:color w:val="10305A"/>
          <w:sz w:val="27"/>
        </w:rPr>
        <w:t>6.4 你真正要看的 MD/QM 结果</w:t>
      </w:r>
    </w:p>
    <w:p>
      <w:pPr>
        <w:spacing w:before="160" w:after="80" w:line="324" w:lineRule="auto"/>
      </w:pPr>
      <w:r>
        <w:rPr>
          <w:rFonts w:ascii="Times New Roman" w:hAnsi="Times New Roman" w:eastAsia="微软雅黑"/>
          <w:b/>
          <w:i w:val="0"/>
          <w:color w:val="10305A"/>
          <w:sz w:val="21"/>
        </w:rPr>
        <w:t>表 15　与论文问题对应的计算结果表</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结果列</w:t>
            </w:r>
          </w:p>
        </w:tc>
        <w:tc>
          <w:tcPr>
            <w:tcW w:type="dxa" w:w="3173"/>
            <w:shd w:val="clear" w:color="auto" w:fill="10305A"/>
          </w:tcPr>
          <w:p>
            <w:pPr>
              <w:jc w:val="center"/>
            </w:pPr>
            <w:r/>
            <w:r>
              <w:rPr>
                <w:rFonts w:ascii="Times New Roman" w:hAnsi="Times New Roman" w:eastAsia="微软雅黑"/>
                <w:b/>
                <w:i w:val="0"/>
                <w:color w:val="FFFFFF"/>
                <w:sz w:val="19"/>
              </w:rPr>
              <w:t>回答的论文问题</w:t>
            </w:r>
          </w:p>
        </w:tc>
        <w:tc>
          <w:tcPr>
            <w:tcW w:type="dxa" w:w="3173"/>
            <w:shd w:val="clear" w:color="auto" w:fill="10305A"/>
          </w:tcPr>
          <w:p>
            <w:pPr>
              <w:jc w:val="center"/>
            </w:pPr>
            <w:r/>
            <w:r>
              <w:rPr>
                <w:rFonts w:ascii="Times New Roman" w:hAnsi="Times New Roman" w:eastAsia="微软雅黑"/>
                <w:b/>
                <w:i w:val="0"/>
                <w:color w:val="FFFFFF"/>
                <w:sz w:val="19"/>
              </w:rPr>
              <w:t>优先级</w:t>
            </w:r>
          </w:p>
        </w:tc>
      </w:tr>
      <w:tr>
        <w:tc>
          <w:tcPr>
            <w:tcW w:type="dxa" w:w="3173"/>
          </w:tcPr>
          <w:p>
            <w:pPr>
              <w:spacing w:after="40" w:line="276" w:lineRule="auto"/>
            </w:pPr>
            <w:r/>
            <w:r>
              <w:rPr>
                <w:rFonts w:ascii="Times New Roman" w:hAnsi="Times New Roman" w:eastAsia="宋体"/>
                <w:b w:val="0"/>
                <w:i w:val="0"/>
                <w:color w:val="1F2937"/>
                <w:sz w:val="19"/>
              </w:rPr>
              <w:t>AMP-菌膜结合与插膜 PMF</w:t>
            </w:r>
          </w:p>
        </w:tc>
        <w:tc>
          <w:tcPr>
            <w:tcW w:type="dxa" w:w="3173"/>
          </w:tcPr>
          <w:p>
            <w:pPr>
              <w:spacing w:after="40" w:line="276" w:lineRule="auto"/>
            </w:pPr>
            <w:r/>
            <w:r>
              <w:rPr>
                <w:rFonts w:ascii="Times New Roman" w:hAnsi="Times New Roman" w:eastAsia="宋体"/>
                <w:b w:val="0"/>
                <w:i w:val="0"/>
                <w:color w:val="1F2937"/>
                <w:sz w:val="19"/>
              </w:rPr>
              <w:t>候选肽是否可能改变来源菌/相关菌生态</w:t>
            </w:r>
          </w:p>
        </w:tc>
        <w:tc>
          <w:tcPr>
            <w:tcW w:type="dxa" w:w="3173"/>
          </w:tcPr>
          <w:p>
            <w:pPr>
              <w:spacing w:after="40" w:line="276" w:lineRule="auto"/>
            </w:pPr>
            <w:r/>
            <w:r>
              <w:rPr>
                <w:rFonts w:ascii="Times New Roman" w:hAnsi="Times New Roman" w:eastAsia="宋体"/>
                <w:b w:val="0"/>
                <w:i w:val="0"/>
                <w:color w:val="1F2937"/>
                <w:sz w:val="19"/>
              </w:rPr>
              <w:t>高</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AMP-LPS 结合与 Mg2+ 竞争</w:t>
            </w:r>
          </w:p>
        </w:tc>
        <w:tc>
          <w:tcPr>
            <w:tcW w:type="dxa" w:w="3173"/>
            <w:shd w:val="clear" w:color="auto" w:fill="F2F5F9"/>
          </w:tcPr>
          <w:p>
            <w:pPr>
              <w:spacing w:after="40" w:line="276" w:lineRule="auto"/>
            </w:pPr>
            <w:r/>
            <w:r>
              <w:rPr>
                <w:rFonts w:ascii="Times New Roman" w:hAnsi="Times New Roman" w:eastAsia="宋体"/>
                <w:b w:val="0"/>
                <w:i w:val="0"/>
                <w:color w:val="1F2937"/>
                <w:sz w:val="19"/>
              </w:rPr>
              <w:t>是否可能影响 LPS 暴露或屏障炎症路径</w:t>
            </w:r>
          </w:p>
        </w:tc>
        <w:tc>
          <w:tcPr>
            <w:tcW w:type="dxa" w:w="3173"/>
            <w:shd w:val="clear" w:color="auto" w:fill="F2F5F9"/>
          </w:tcPr>
          <w:p>
            <w:pPr>
              <w:spacing w:after="40" w:line="276" w:lineRule="auto"/>
            </w:pPr>
            <w:r/>
            <w:r>
              <w:rPr>
                <w:rFonts w:ascii="Times New Roman" w:hAnsi="Times New Roman" w:eastAsia="宋体"/>
                <w:b w:val="0"/>
                <w:i w:val="0"/>
                <w:color w:val="1F2937"/>
                <w:sz w:val="19"/>
              </w:rPr>
              <w:t>高</w:t>
            </w:r>
          </w:p>
        </w:tc>
      </w:tr>
      <w:tr>
        <w:tc>
          <w:tcPr>
            <w:tcW w:type="dxa" w:w="3173"/>
          </w:tcPr>
          <w:p>
            <w:pPr>
              <w:spacing w:after="40" w:line="276" w:lineRule="auto"/>
            </w:pPr>
            <w:r/>
            <w:r>
              <w:rPr>
                <w:rFonts w:ascii="Times New Roman" w:hAnsi="Times New Roman" w:eastAsia="宋体"/>
                <w:b w:val="0"/>
                <w:i w:val="0"/>
                <w:color w:val="1F2937"/>
                <w:sz w:val="19"/>
              </w:rPr>
              <w:t>AMP-受体界面和构象</w:t>
            </w:r>
          </w:p>
        </w:tc>
        <w:tc>
          <w:tcPr>
            <w:tcW w:type="dxa" w:w="3173"/>
          </w:tcPr>
          <w:p>
            <w:pPr>
              <w:spacing w:after="40" w:line="276" w:lineRule="auto"/>
            </w:pPr>
            <w:r/>
            <w:r>
              <w:rPr>
                <w:rFonts w:ascii="Times New Roman" w:hAnsi="Times New Roman" w:eastAsia="宋体"/>
                <w:b w:val="0"/>
                <w:i w:val="0"/>
                <w:color w:val="1F2937"/>
                <w:sz w:val="19"/>
              </w:rPr>
              <w:t>是否有免疫激活的结构线索</w:t>
            </w:r>
          </w:p>
        </w:tc>
        <w:tc>
          <w:tcPr>
            <w:tcW w:type="dxa" w:w="3173"/>
          </w:tcPr>
          <w:p>
            <w:pPr>
              <w:spacing w:after="40" w:line="276" w:lineRule="auto"/>
            </w:pPr>
            <w:r/>
            <w:r>
              <w:rPr>
                <w:rFonts w:ascii="Times New Roman" w:hAnsi="Times New Roman" w:eastAsia="宋体"/>
                <w:b w:val="0"/>
                <w:i w:val="0"/>
                <w:color w:val="1F2937"/>
                <w:sz w:val="19"/>
              </w:rPr>
              <w:t>中高</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Aβ 单体/寡聚体路径差异</w:t>
            </w:r>
          </w:p>
        </w:tc>
        <w:tc>
          <w:tcPr>
            <w:tcW w:type="dxa" w:w="3173"/>
            <w:shd w:val="clear" w:color="auto" w:fill="F2F5F9"/>
          </w:tcPr>
          <w:p>
            <w:pPr>
              <w:spacing w:after="40" w:line="276" w:lineRule="auto"/>
            </w:pPr>
            <w:r/>
            <w:r>
              <w:rPr>
                <w:rFonts w:ascii="Times New Roman" w:hAnsi="Times New Roman" w:eastAsia="宋体"/>
                <w:b w:val="0"/>
                <w:i w:val="0"/>
                <w:color w:val="1F2937"/>
                <w:sz w:val="19"/>
              </w:rPr>
              <w:t>是否偏向保护、未知或风险样</w:t>
            </w:r>
          </w:p>
        </w:tc>
        <w:tc>
          <w:tcPr>
            <w:tcW w:type="dxa" w:w="3173"/>
            <w:shd w:val="clear" w:color="auto" w:fill="F2F5F9"/>
          </w:tcPr>
          <w:p>
            <w:pPr>
              <w:spacing w:after="40" w:line="276" w:lineRule="auto"/>
            </w:pPr>
            <w:r/>
            <w:r>
              <w:rPr>
                <w:rFonts w:ascii="Times New Roman" w:hAnsi="Times New Roman" w:eastAsia="宋体"/>
                <w:b w:val="0"/>
                <w:i w:val="0"/>
                <w:color w:val="1F2937"/>
                <w:sz w:val="19"/>
              </w:rPr>
              <w:t>中，仅限高优先候选</w:t>
            </w:r>
          </w:p>
        </w:tc>
      </w:tr>
      <w:tr>
        <w:tc>
          <w:tcPr>
            <w:tcW w:type="dxa" w:w="3173"/>
          </w:tcPr>
          <w:p>
            <w:pPr>
              <w:spacing w:after="40" w:line="276" w:lineRule="auto"/>
            </w:pPr>
            <w:r/>
            <w:r>
              <w:rPr>
                <w:rFonts w:ascii="Times New Roman" w:hAnsi="Times New Roman" w:eastAsia="宋体"/>
                <w:b w:val="0"/>
                <w:i w:val="0"/>
                <w:color w:val="1F2937"/>
                <w:sz w:val="19"/>
              </w:rPr>
              <w:t>BBB 膜 PMF/Papp/转运体</w:t>
            </w:r>
          </w:p>
        </w:tc>
        <w:tc>
          <w:tcPr>
            <w:tcW w:type="dxa" w:w="3173"/>
          </w:tcPr>
          <w:p>
            <w:pPr>
              <w:spacing w:after="40" w:line="276" w:lineRule="auto"/>
            </w:pPr>
            <w:r/>
            <w:r>
              <w:rPr>
                <w:rFonts w:ascii="Times New Roman" w:hAnsi="Times New Roman" w:eastAsia="宋体"/>
                <w:b w:val="0"/>
                <w:i w:val="0"/>
                <w:color w:val="1F2937"/>
                <w:sz w:val="19"/>
              </w:rPr>
              <w:t>直接入脑是否物理可行</w:t>
            </w:r>
          </w:p>
        </w:tc>
        <w:tc>
          <w:tcPr>
            <w:tcW w:type="dxa" w:w="3173"/>
          </w:tcPr>
          <w:p>
            <w:pPr>
              <w:spacing w:after="40" w:line="276" w:lineRule="auto"/>
            </w:pPr>
            <w:r/>
            <w:r>
              <w:rPr>
                <w:rFonts w:ascii="Times New Roman" w:hAnsi="Times New Roman" w:eastAsia="宋体"/>
                <w:b w:val="0"/>
                <w:i w:val="0"/>
                <w:color w:val="1F2937"/>
                <w:sz w:val="19"/>
              </w:rPr>
              <w:t>低到中，不能默认做</w:t>
            </w:r>
          </w:p>
        </w:tc>
      </w:tr>
    </w:tbl>
    <w:p>
      <w:pPr>
        <w:spacing w:after="40"/>
      </w:pPr>
    </w:p>
    <w:p>
      <w:pPr>
        <w:spacing w:before="320" w:after="160" w:line="288" w:lineRule="auto"/>
      </w:pPr>
      <w:r>
        <w:rPr>
          <w:rFonts w:ascii="Times New Roman" w:hAnsi="Times New Roman" w:eastAsia="微软雅黑"/>
          <w:b/>
          <w:i w:val="0"/>
          <w:color w:val="10305A"/>
          <w:sz w:val="34"/>
        </w:rPr>
        <w:t>七、实际候选肽应该怎样填表和解释</w:t>
      </w:r>
    </w:p>
    <w:p>
      <w:pPr>
        <w:spacing w:before="240" w:after="100" w:line="288" w:lineRule="auto"/>
      </w:pPr>
      <w:r>
        <w:rPr>
          <w:rFonts w:ascii="Times New Roman" w:hAnsi="Times New Roman" w:eastAsia="微软雅黑"/>
          <w:b/>
          <w:i w:val="0"/>
          <w:color w:val="10305A"/>
          <w:sz w:val="27"/>
        </w:rPr>
        <w:t>7.1 候选肽机制卡片模板</w:t>
      </w:r>
    </w:p>
    <w:p>
      <w:pPr>
        <w:spacing w:before="160" w:after="80" w:line="324" w:lineRule="auto"/>
      </w:pPr>
      <w:r>
        <w:rPr>
          <w:rFonts w:ascii="Times New Roman" w:hAnsi="Times New Roman" w:eastAsia="微软雅黑"/>
          <w:b/>
          <w:i w:val="0"/>
          <w:color w:val="10305A"/>
          <w:sz w:val="21"/>
        </w:rPr>
        <w:t>表 16　候选肽机制卡片（当前没有真实结果，AMP-C01 等仅为占位符）</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字段</w:t>
            </w:r>
          </w:p>
        </w:tc>
        <w:tc>
          <w:tcPr>
            <w:tcW w:type="dxa" w:w="3173"/>
            <w:shd w:val="clear" w:color="auto" w:fill="10305A"/>
          </w:tcPr>
          <w:p>
            <w:pPr>
              <w:jc w:val="center"/>
            </w:pPr>
            <w:r/>
            <w:r>
              <w:rPr>
                <w:rFonts w:ascii="Times New Roman" w:hAnsi="Times New Roman" w:eastAsia="微软雅黑"/>
                <w:b/>
                <w:i w:val="0"/>
                <w:color w:val="FFFFFF"/>
                <w:sz w:val="19"/>
              </w:rPr>
              <w:t>示例填写格式</w:t>
            </w:r>
          </w:p>
        </w:tc>
        <w:tc>
          <w:tcPr>
            <w:tcW w:type="dxa" w:w="3173"/>
            <w:shd w:val="clear" w:color="auto" w:fill="10305A"/>
          </w:tcPr>
          <w:p>
            <w:pPr>
              <w:jc w:val="center"/>
            </w:pPr>
            <w:r/>
            <w:r>
              <w:rPr>
                <w:rFonts w:ascii="Times New Roman" w:hAnsi="Times New Roman" w:eastAsia="微软雅黑"/>
                <w:b/>
                <w:i w:val="0"/>
                <w:color w:val="FFFFFF"/>
                <w:sz w:val="19"/>
              </w:rPr>
              <w:t>状态</w:t>
            </w:r>
          </w:p>
        </w:tc>
      </w:tr>
      <w:tr>
        <w:tc>
          <w:tcPr>
            <w:tcW w:type="dxa" w:w="3173"/>
          </w:tcPr>
          <w:p>
            <w:pPr>
              <w:spacing w:after="40" w:line="276" w:lineRule="auto"/>
            </w:pPr>
            <w:r/>
            <w:r>
              <w:rPr>
                <w:rFonts w:ascii="Times New Roman" w:hAnsi="Times New Roman" w:eastAsia="宋体"/>
                <w:b w:val="0"/>
                <w:i w:val="0"/>
                <w:color w:val="1F2937"/>
                <w:sz w:val="19"/>
              </w:rPr>
              <w:t>候选 ID/序列</w:t>
            </w:r>
          </w:p>
        </w:tc>
        <w:tc>
          <w:tcPr>
            <w:tcW w:type="dxa" w:w="3173"/>
          </w:tcPr>
          <w:p>
            <w:pPr>
              <w:spacing w:after="40" w:line="276" w:lineRule="auto"/>
            </w:pPr>
            <w:r/>
            <w:r>
              <w:rPr>
                <w:rFonts w:ascii="Times New Roman" w:hAnsi="Times New Roman" w:eastAsia="宋体"/>
                <w:b w:val="0"/>
                <w:i w:val="0"/>
                <w:color w:val="1F2937"/>
                <w:sz w:val="19"/>
              </w:rPr>
              <w:t>AMP-C01；序列；长度；净电荷；序列簇</w:t>
            </w:r>
          </w:p>
        </w:tc>
        <w:tc>
          <w:tcPr>
            <w:tcW w:type="dxa" w:w="3173"/>
          </w:tcPr>
          <w:p>
            <w:pPr>
              <w:spacing w:after="40" w:line="276" w:lineRule="auto"/>
            </w:pPr>
            <w:r/>
            <w:r>
              <w:rPr>
                <w:rFonts w:ascii="Times New Roman" w:hAnsi="Times New Roman" w:eastAsia="宋体"/>
                <w:b w:val="0"/>
                <w:i w:val="0"/>
                <w:color w:val="1F2937"/>
                <w:sz w:val="19"/>
              </w:rPr>
              <w:t>等待实际候选表</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来源</w:t>
            </w:r>
          </w:p>
        </w:tc>
        <w:tc>
          <w:tcPr>
            <w:tcW w:type="dxa" w:w="3173"/>
            <w:shd w:val="clear" w:color="auto" w:fill="F2F5F9"/>
          </w:tcPr>
          <w:p>
            <w:pPr>
              <w:spacing w:after="40" w:line="276" w:lineRule="auto"/>
            </w:pPr>
            <w:r/>
            <w:r>
              <w:rPr>
                <w:rFonts w:ascii="Times New Roman" w:hAnsi="Times New Roman" w:eastAsia="宋体"/>
                <w:b w:val="0"/>
                <w:i w:val="0"/>
                <w:color w:val="1F2937"/>
                <w:sz w:val="19"/>
              </w:rPr>
              <w:t>样本 ID、contig、ORF、MAG、GTDB-Tk 分类</w:t>
            </w:r>
          </w:p>
        </w:tc>
        <w:tc>
          <w:tcPr>
            <w:tcW w:type="dxa" w:w="3173"/>
            <w:shd w:val="clear" w:color="auto" w:fill="F2F5F9"/>
          </w:tcPr>
          <w:p>
            <w:pPr>
              <w:spacing w:after="40" w:line="276" w:lineRule="auto"/>
            </w:pPr>
            <w:r/>
            <w:r>
              <w:rPr>
                <w:rFonts w:ascii="Times New Roman" w:hAnsi="Times New Roman" w:eastAsia="宋体"/>
                <w:b w:val="0"/>
                <w:i w:val="0"/>
                <w:color w:val="1F2937"/>
                <w:sz w:val="19"/>
              </w:rPr>
              <w:t>方法已定义</w:t>
            </w:r>
          </w:p>
        </w:tc>
      </w:tr>
      <w:tr>
        <w:tc>
          <w:tcPr>
            <w:tcW w:type="dxa" w:w="3173"/>
          </w:tcPr>
          <w:p>
            <w:pPr>
              <w:spacing w:after="40" w:line="276" w:lineRule="auto"/>
            </w:pPr>
            <w:r/>
            <w:r>
              <w:rPr>
                <w:rFonts w:ascii="Times New Roman" w:hAnsi="Times New Roman" w:eastAsia="宋体"/>
                <w:b w:val="0"/>
                <w:i w:val="0"/>
                <w:color w:val="1F2937"/>
                <w:sz w:val="19"/>
              </w:rPr>
              <w:t>模型证据</w:t>
            </w:r>
          </w:p>
        </w:tc>
        <w:tc>
          <w:tcPr>
            <w:tcW w:type="dxa" w:w="3173"/>
          </w:tcPr>
          <w:p>
            <w:pPr>
              <w:spacing w:after="40" w:line="276" w:lineRule="auto"/>
            </w:pPr>
            <w:r/>
            <w:r>
              <w:rPr>
                <w:rFonts w:ascii="Times New Roman" w:hAnsi="Times New Roman" w:eastAsia="宋体"/>
                <w:b w:val="0"/>
                <w:i w:val="0"/>
                <w:color w:val="1F2937"/>
                <w:sz w:val="19"/>
              </w:rPr>
              <w:t>Attention/LSTM/BERT 概率、投票、一致性</w:t>
            </w:r>
          </w:p>
        </w:tc>
        <w:tc>
          <w:tcPr>
            <w:tcW w:type="dxa" w:w="3173"/>
          </w:tcPr>
          <w:p>
            <w:pPr>
              <w:spacing w:after="40" w:line="276" w:lineRule="auto"/>
            </w:pPr>
            <w:r/>
            <w:r>
              <w:rPr>
                <w:rFonts w:ascii="Times New Roman" w:hAnsi="Times New Roman" w:eastAsia="宋体"/>
                <w:b w:val="0"/>
                <w:i w:val="0"/>
                <w:color w:val="1F2937"/>
                <w:sz w:val="19"/>
              </w:rPr>
              <w:t>等待模型输出</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差异证据</w:t>
            </w:r>
          </w:p>
        </w:tc>
        <w:tc>
          <w:tcPr>
            <w:tcW w:type="dxa" w:w="3173"/>
            <w:shd w:val="clear" w:color="auto" w:fill="F2F5F9"/>
          </w:tcPr>
          <w:p>
            <w:pPr>
              <w:spacing w:after="40" w:line="276" w:lineRule="auto"/>
            </w:pPr>
            <w:r/>
            <w:r>
              <w:rPr>
                <w:rFonts w:ascii="Times New Roman" w:hAnsi="Times New Roman" w:eastAsia="宋体"/>
                <w:b w:val="0"/>
                <w:i w:val="0"/>
                <w:color w:val="1F2937"/>
                <w:sz w:val="19"/>
              </w:rPr>
              <w:t>AD vs 健康效应量、FDR、检出率、分期趋势</w:t>
            </w:r>
          </w:p>
        </w:tc>
        <w:tc>
          <w:tcPr>
            <w:tcW w:type="dxa" w:w="3173"/>
            <w:shd w:val="clear" w:color="auto" w:fill="F2F5F9"/>
          </w:tcPr>
          <w:p>
            <w:pPr>
              <w:spacing w:after="40" w:line="276" w:lineRule="auto"/>
            </w:pPr>
            <w:r/>
            <w:r>
              <w:rPr>
                <w:rFonts w:ascii="Times New Roman" w:hAnsi="Times New Roman" w:eastAsia="宋体"/>
                <w:b w:val="0"/>
                <w:i w:val="0"/>
                <w:color w:val="1F2937"/>
                <w:sz w:val="19"/>
              </w:rPr>
              <w:t>等待差异结果</w:t>
            </w:r>
          </w:p>
        </w:tc>
      </w:tr>
      <w:tr>
        <w:tc>
          <w:tcPr>
            <w:tcW w:type="dxa" w:w="3173"/>
          </w:tcPr>
          <w:p>
            <w:pPr>
              <w:spacing w:after="40" w:line="276" w:lineRule="auto"/>
            </w:pPr>
            <w:r/>
            <w:r>
              <w:rPr>
                <w:rFonts w:ascii="Times New Roman" w:hAnsi="Times New Roman" w:eastAsia="宋体"/>
                <w:b w:val="0"/>
                <w:i w:val="0"/>
                <w:color w:val="1F2937"/>
                <w:sz w:val="19"/>
              </w:rPr>
              <w:t>表达证据</w:t>
            </w:r>
          </w:p>
        </w:tc>
        <w:tc>
          <w:tcPr>
            <w:tcW w:type="dxa" w:w="3173"/>
          </w:tcPr>
          <w:p>
            <w:pPr>
              <w:spacing w:after="40" w:line="276" w:lineRule="auto"/>
            </w:pPr>
            <w:r/>
            <w:r>
              <w:rPr>
                <w:rFonts w:ascii="Times New Roman" w:hAnsi="Times New Roman" w:eastAsia="宋体"/>
                <w:b w:val="0"/>
                <w:i w:val="0"/>
                <w:color w:val="1F2937"/>
                <w:sz w:val="19"/>
              </w:rPr>
              <w:t>宏转录组/宏蛋白组/肽组学支持</w:t>
            </w:r>
          </w:p>
        </w:tc>
        <w:tc>
          <w:tcPr>
            <w:tcW w:type="dxa" w:w="3173"/>
          </w:tcPr>
          <w:p>
            <w:pPr>
              <w:spacing w:after="40" w:line="276" w:lineRule="auto"/>
            </w:pPr>
            <w:r/>
            <w:r>
              <w:rPr>
                <w:rFonts w:ascii="Times New Roman" w:hAnsi="Times New Roman" w:eastAsia="宋体"/>
                <w:b w:val="0"/>
                <w:i w:val="0"/>
                <w:color w:val="1F2937"/>
                <w:sz w:val="19"/>
              </w:rPr>
              <w:t>若无则明确写无</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生态证据</w:t>
            </w:r>
          </w:p>
        </w:tc>
        <w:tc>
          <w:tcPr>
            <w:tcW w:type="dxa" w:w="3173"/>
            <w:shd w:val="clear" w:color="auto" w:fill="F2F5F9"/>
          </w:tcPr>
          <w:p>
            <w:pPr>
              <w:spacing w:after="40" w:line="276" w:lineRule="auto"/>
            </w:pPr>
            <w:r/>
            <w:r>
              <w:rPr>
                <w:rFonts w:ascii="Times New Roman" w:hAnsi="Times New Roman" w:eastAsia="宋体"/>
                <w:b w:val="0"/>
                <w:i w:val="0"/>
                <w:color w:val="1F2937"/>
                <w:sz w:val="19"/>
              </w:rPr>
              <w:t>来源菌、LPS/SCFA/网络/中介</w:t>
            </w:r>
          </w:p>
        </w:tc>
        <w:tc>
          <w:tcPr>
            <w:tcW w:type="dxa" w:w="3173"/>
            <w:shd w:val="clear" w:color="auto" w:fill="F2F5F9"/>
          </w:tcPr>
          <w:p>
            <w:pPr>
              <w:spacing w:after="40" w:line="276" w:lineRule="auto"/>
            </w:pPr>
            <w:r/>
            <w:r>
              <w:rPr>
                <w:rFonts w:ascii="Times New Roman" w:hAnsi="Times New Roman" w:eastAsia="宋体"/>
                <w:b w:val="0"/>
                <w:i w:val="0"/>
                <w:color w:val="1F2937"/>
                <w:sz w:val="19"/>
              </w:rPr>
              <w:t>按数据可得性填写</w:t>
            </w:r>
          </w:p>
        </w:tc>
      </w:tr>
      <w:tr>
        <w:tc>
          <w:tcPr>
            <w:tcW w:type="dxa" w:w="3173"/>
          </w:tcPr>
          <w:p>
            <w:pPr>
              <w:spacing w:after="40" w:line="276" w:lineRule="auto"/>
            </w:pPr>
            <w:r/>
            <w:r>
              <w:rPr>
                <w:rFonts w:ascii="Times New Roman" w:hAnsi="Times New Roman" w:eastAsia="宋体"/>
                <w:b w:val="0"/>
                <w:i w:val="0"/>
                <w:color w:val="1F2937"/>
                <w:sz w:val="19"/>
              </w:rPr>
              <w:t>结构证据</w:t>
            </w:r>
          </w:p>
        </w:tc>
        <w:tc>
          <w:tcPr>
            <w:tcW w:type="dxa" w:w="3173"/>
          </w:tcPr>
          <w:p>
            <w:pPr>
              <w:spacing w:after="40" w:line="276" w:lineRule="auto"/>
            </w:pPr>
            <w:r/>
            <w:r>
              <w:rPr>
                <w:rFonts w:ascii="Times New Roman" w:hAnsi="Times New Roman" w:eastAsia="宋体"/>
                <w:b w:val="0"/>
                <w:i w:val="0"/>
                <w:color w:val="1F2937"/>
                <w:sz w:val="19"/>
              </w:rPr>
              <w:t>膜/LPS/受体/Aβ 的 MD 或 QM 结果</w:t>
            </w:r>
          </w:p>
        </w:tc>
        <w:tc>
          <w:tcPr>
            <w:tcW w:type="dxa" w:w="3173"/>
          </w:tcPr>
          <w:p>
            <w:pPr>
              <w:spacing w:after="40" w:line="276" w:lineRule="auto"/>
            </w:pPr>
            <w:r/>
            <w:r>
              <w:rPr>
                <w:rFonts w:ascii="Times New Roman" w:hAnsi="Times New Roman" w:eastAsia="宋体"/>
                <w:b w:val="0"/>
                <w:i w:val="0"/>
                <w:color w:val="1F2937"/>
                <w:sz w:val="19"/>
              </w:rPr>
              <w:t>按候选优先级追加</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方向标签</w:t>
            </w:r>
          </w:p>
        </w:tc>
        <w:tc>
          <w:tcPr>
            <w:tcW w:type="dxa" w:w="3173"/>
            <w:shd w:val="clear" w:color="auto" w:fill="F2F5F9"/>
          </w:tcPr>
          <w:p>
            <w:pPr>
              <w:spacing w:after="40" w:line="276" w:lineRule="auto"/>
            </w:pPr>
            <w:r/>
            <w:r>
              <w:rPr>
                <w:rFonts w:ascii="Times New Roman" w:hAnsi="Times New Roman" w:eastAsia="宋体"/>
                <w:b w:val="0"/>
                <w:i w:val="0"/>
                <w:color w:val="1F2937"/>
                <w:sz w:val="19"/>
              </w:rPr>
              <w:t>风险样、保护样、未知；给出理由</w:t>
            </w:r>
          </w:p>
        </w:tc>
        <w:tc>
          <w:tcPr>
            <w:tcW w:type="dxa" w:w="3173"/>
            <w:shd w:val="clear" w:color="auto" w:fill="F2F5F9"/>
          </w:tcPr>
          <w:p>
            <w:pPr>
              <w:spacing w:after="40" w:line="276" w:lineRule="auto"/>
            </w:pPr>
            <w:r/>
            <w:r>
              <w:rPr>
                <w:rFonts w:ascii="Times New Roman" w:hAnsi="Times New Roman" w:eastAsia="宋体"/>
                <w:b w:val="0"/>
                <w:i w:val="0"/>
                <w:color w:val="1F2937"/>
                <w:sz w:val="19"/>
              </w:rPr>
              <w:t>不得只由 docking score 决定</w:t>
            </w:r>
          </w:p>
        </w:tc>
      </w:tr>
      <w:tr>
        <w:tc>
          <w:tcPr>
            <w:tcW w:type="dxa" w:w="3173"/>
          </w:tcPr>
          <w:p>
            <w:pPr>
              <w:spacing w:after="40" w:line="276" w:lineRule="auto"/>
            </w:pPr>
            <w:r/>
            <w:r>
              <w:rPr>
                <w:rFonts w:ascii="Times New Roman" w:hAnsi="Times New Roman" w:eastAsia="宋体"/>
                <w:b w:val="0"/>
                <w:i w:val="0"/>
                <w:color w:val="1F2937"/>
                <w:sz w:val="19"/>
              </w:rPr>
              <w:t>最终措辞</w:t>
            </w:r>
          </w:p>
        </w:tc>
        <w:tc>
          <w:tcPr>
            <w:tcW w:type="dxa" w:w="3173"/>
          </w:tcPr>
          <w:p>
            <w:pPr>
              <w:spacing w:after="40" w:line="276" w:lineRule="auto"/>
            </w:pPr>
            <w:r/>
            <w:r>
              <w:rPr>
                <w:rFonts w:ascii="Times New Roman" w:hAnsi="Times New Roman" w:eastAsia="宋体"/>
                <w:b w:val="0"/>
                <w:i w:val="0"/>
                <w:color w:val="1F2937"/>
                <w:sz w:val="19"/>
              </w:rPr>
              <w:t>AD-associated candidate；不是 causative peptide</w:t>
            </w:r>
          </w:p>
        </w:tc>
        <w:tc>
          <w:tcPr>
            <w:tcW w:type="dxa" w:w="3173"/>
          </w:tcPr>
          <w:p>
            <w:pPr>
              <w:spacing w:after="40" w:line="276" w:lineRule="auto"/>
            </w:pPr>
            <w:r/>
            <w:r>
              <w:rPr>
                <w:rFonts w:ascii="Times New Roman" w:hAnsi="Times New Roman" w:eastAsia="宋体"/>
                <w:b w:val="0"/>
                <w:i w:val="0"/>
                <w:color w:val="1F2937"/>
                <w:sz w:val="19"/>
              </w:rPr>
              <w:t>正文统一</w:t>
            </w:r>
          </w:p>
        </w:tc>
      </w:tr>
    </w:tbl>
    <w:p>
      <w:pPr>
        <w:spacing w:after="40"/>
      </w:pPr>
    </w:p>
    <w:p>
      <w:pPr>
        <w:spacing w:before="240" w:after="100" w:line="288" w:lineRule="auto"/>
      </w:pPr>
      <w:r>
        <w:rPr>
          <w:rFonts w:ascii="Times New Roman" w:hAnsi="Times New Roman" w:eastAsia="微软雅黑"/>
          <w:b/>
          <w:i w:val="0"/>
          <w:color w:val="10305A"/>
          <w:sz w:val="27"/>
        </w:rPr>
        <w:t>7.2 不要伪造结果：当前仓库缺少实际候选清单</w:t>
      </w:r>
    </w:p>
    <w:p>
      <w:pPr>
        <w:spacing w:before="0" w:after="120" w:line="336" w:lineRule="auto"/>
        <w:ind w:firstLine="440"/>
      </w:pPr>
      <w:r>
        <w:rPr>
          <w:rFonts w:ascii="Times New Roman" w:hAnsi="Times New Roman" w:eastAsia="宋体"/>
          <w:b w:val="0"/>
          <w:i w:val="0"/>
          <w:color w:val="1F2937"/>
          <w:sz w:val="22"/>
        </w:rPr>
        <w:t>本次生成交付物时，仓库中没有可供核对的实际候选肽 FASTA、样本×肽丰度矩阵、FDR 表或模型预测输出。因此本版不会编造 AMP-C01 的序列、丰度、P 值或 AD 方向。AMP-C01、AMP-C02 只是演示如何填写机制卡片；拿到真实筛选表后，应按同一规则替换，并保留原始文件和分析日志。</w:t>
      </w:r>
    </w:p>
    <w:p>
      <w:pPr>
        <w:spacing w:before="0" w:after="120" w:line="336" w:lineRule="auto"/>
        <w:ind w:firstLine="440"/>
      </w:pPr>
      <w:r>
        <w:rPr>
          <w:rFonts w:ascii="Times New Roman" w:hAnsi="Times New Roman" w:eastAsia="宋体"/>
          <w:b w:val="0"/>
          <w:i w:val="0"/>
          <w:color w:val="1F2937"/>
          <w:sz w:val="22"/>
        </w:rPr>
        <w:t>这不是回避问题，而是避免把“方法示例”伪装成“研究结果”。如果老师问目前有没有找到导致 AD 的肽，准确回答是：目前研究设计能够筛选和排序 AD 相关候选肽，但在没有实际差异结果、表达证据和干预验证之前，不能声称找到已经导致 AD 的抗菌肽。</w:t>
      </w:r>
    </w:p>
    <w:p>
      <w:pPr>
        <w:spacing w:before="320" w:after="160" w:line="288" w:lineRule="auto"/>
      </w:pPr>
      <w:r>
        <w:rPr>
          <w:rFonts w:ascii="Times New Roman" w:hAnsi="Times New Roman" w:eastAsia="微软雅黑"/>
          <w:b/>
          <w:i w:val="0"/>
          <w:color w:val="10305A"/>
          <w:sz w:val="34"/>
        </w:rPr>
        <w:t>八、论文和答辩中可以直接使用的解释</w:t>
      </w:r>
    </w:p>
    <w:p>
      <w:pPr>
        <w:spacing w:before="240" w:after="100" w:line="288" w:lineRule="auto"/>
      </w:pPr>
      <w:r>
        <w:rPr>
          <w:rFonts w:ascii="Times New Roman" w:hAnsi="Times New Roman" w:eastAsia="微软雅黑"/>
          <w:b/>
          <w:i w:val="0"/>
          <w:color w:val="10305A"/>
          <w:sz w:val="27"/>
        </w:rPr>
        <w:t>8.1 30 秒版本</w:t>
      </w:r>
    </w:p>
    <w:p>
      <w:pPr>
        <w:spacing w:before="120" w:after="120" w:line="324" w:lineRule="auto"/>
        <w:jc w:val="center"/>
      </w:pPr>
      <w:r>
        <w:rPr>
          <w:rFonts w:ascii="Times New Roman" w:hAnsi="Times New Roman" w:eastAsia="Cambria"/>
          <w:b w:val="0"/>
          <w:i/>
          <w:color w:val="10305A"/>
          <w:sz w:val="22"/>
        </w:rPr>
        <w:t>我的研究先用深度学习从 AD 患者和健康人的肠道宏基因组中找出候选抗菌肽，再比较这些肽在两组中的差异。差异结果是研究主体；机制分析是第二阶段，用来判断差异肽是否可能通过菌群竞争、LPS/SCFA、肠屏障、外周炎症和脑内 Aβ/Tau 过程与 AD 病理相连。我们把候选肽分为风险样、保护样和未知三类，而不是把所有肽都当作 Aβ 抑制剂或直接病因。</w:t>
      </w:r>
    </w:p>
    <w:p>
      <w:pPr>
        <w:spacing w:before="240" w:after="100" w:line="288" w:lineRule="auto"/>
      </w:pPr>
      <w:r>
        <w:rPr>
          <w:rFonts w:ascii="Times New Roman" w:hAnsi="Times New Roman" w:eastAsia="微软雅黑"/>
          <w:b/>
          <w:i w:val="0"/>
          <w:color w:val="10305A"/>
          <w:sz w:val="27"/>
        </w:rPr>
        <w:t>8.2 老师追问“你研究的是致病肽还是抑制剂”时</w:t>
      </w:r>
    </w:p>
    <w:p>
      <w:pPr>
        <w:spacing w:before="160" w:after="80" w:line="324" w:lineRule="auto"/>
      </w:pPr>
      <w:r>
        <w:rPr>
          <w:rFonts w:ascii="Times New Roman" w:hAnsi="Times New Roman" w:eastAsia="微软雅黑"/>
          <w:b/>
          <w:i w:val="0"/>
          <w:color w:val="10305A"/>
          <w:sz w:val="21"/>
        </w:rPr>
        <w:t>表 17　答辩问答卡</w:t>
      </w:r>
    </w:p>
    <w:tbl>
      <w:tblPr>
        <w:tblStyle w:val="TableGrid"/>
        <w:tblW w:type="auto" w:w="0"/>
        <w:jc w:val="center"/>
        <w:tblLook w:firstColumn="1" w:firstRow="1" w:lastColumn="0" w:lastRow="0" w:noHBand="0" w:noVBand="1" w:val="04A0"/>
      </w:tblPr>
      <w:tblGrid>
        <w:gridCol w:w="4759"/>
        <w:gridCol w:w="4759"/>
      </w:tblGrid>
      <w:tr>
        <w:tc>
          <w:tcPr>
            <w:tcW w:type="dxa" w:w="4759"/>
            <w:shd w:val="clear" w:color="auto" w:fill="10305A"/>
          </w:tcPr>
          <w:p>
            <w:pPr>
              <w:jc w:val="center"/>
            </w:pPr>
            <w:r/>
            <w:r>
              <w:rPr>
                <w:rFonts w:ascii="Times New Roman" w:hAnsi="Times New Roman" w:eastAsia="微软雅黑"/>
                <w:b/>
                <w:i w:val="0"/>
                <w:color w:val="FFFFFF"/>
                <w:sz w:val="19"/>
              </w:rPr>
              <w:t>老师的问题</w:t>
            </w:r>
          </w:p>
        </w:tc>
        <w:tc>
          <w:tcPr>
            <w:tcW w:type="dxa" w:w="4759"/>
            <w:shd w:val="clear" w:color="auto" w:fill="10305A"/>
          </w:tcPr>
          <w:p>
            <w:pPr>
              <w:jc w:val="center"/>
            </w:pPr>
            <w:r/>
            <w:r>
              <w:rPr>
                <w:rFonts w:ascii="Times New Roman" w:hAnsi="Times New Roman" w:eastAsia="微软雅黑"/>
                <w:b/>
                <w:i w:val="0"/>
                <w:color w:val="FFFFFF"/>
                <w:sz w:val="19"/>
              </w:rPr>
              <w:t>推荐回答</w:t>
            </w:r>
          </w:p>
        </w:tc>
      </w:tr>
      <w:tr>
        <w:tc>
          <w:tcPr>
            <w:tcW w:type="dxa" w:w="4759"/>
          </w:tcPr>
          <w:p>
            <w:pPr>
              <w:spacing w:after="40" w:line="276" w:lineRule="auto"/>
            </w:pPr>
            <w:r/>
            <w:r>
              <w:rPr>
                <w:rFonts w:ascii="Times New Roman" w:hAnsi="Times New Roman" w:eastAsia="宋体"/>
                <w:b w:val="0"/>
                <w:i w:val="0"/>
                <w:color w:val="1F2937"/>
                <w:sz w:val="19"/>
              </w:rPr>
              <w:t>你找的到底是什么肽？</w:t>
            </w:r>
          </w:p>
        </w:tc>
        <w:tc>
          <w:tcPr>
            <w:tcW w:type="dxa" w:w="4759"/>
          </w:tcPr>
          <w:p>
            <w:pPr>
              <w:spacing w:after="40" w:line="276" w:lineRule="auto"/>
            </w:pPr>
            <w:r/>
            <w:r>
              <w:rPr>
                <w:rFonts w:ascii="Times New Roman" w:hAnsi="Times New Roman" w:eastAsia="宋体"/>
                <w:b w:val="0"/>
                <w:i w:val="0"/>
                <w:color w:val="1F2937"/>
                <w:sz w:val="19"/>
              </w:rPr>
              <w:t>首先是 AD 与健康人群中有差异的微生物源抗菌肽；是否病理促进或保护，要靠第二阶段机制证据分类。</w:t>
            </w:r>
          </w:p>
        </w:tc>
      </w:tr>
      <w:tr>
        <w:tc>
          <w:tcPr>
            <w:tcW w:type="dxa" w:w="4759"/>
            <w:shd w:val="clear" w:color="auto" w:fill="F2F5F9"/>
          </w:tcPr>
          <w:p>
            <w:pPr>
              <w:spacing w:after="40" w:line="276" w:lineRule="auto"/>
            </w:pPr>
            <w:r/>
            <w:r>
              <w:rPr>
                <w:rFonts w:ascii="Times New Roman" w:hAnsi="Times New Roman" w:eastAsia="宋体"/>
                <w:b w:val="0"/>
                <w:i w:val="0"/>
                <w:color w:val="1F2937"/>
                <w:sz w:val="19"/>
              </w:rPr>
              <w:t>Aβ 结合能证明什么？</w:t>
            </w:r>
          </w:p>
        </w:tc>
        <w:tc>
          <w:tcPr>
            <w:tcW w:type="dxa" w:w="4759"/>
            <w:shd w:val="clear" w:color="auto" w:fill="F2F5F9"/>
          </w:tcPr>
          <w:p>
            <w:pPr>
              <w:spacing w:after="40" w:line="276" w:lineRule="auto"/>
            </w:pPr>
            <w:r/>
            <w:r>
              <w:rPr>
                <w:rFonts w:ascii="Times New Roman" w:hAnsi="Times New Roman" w:eastAsia="宋体"/>
                <w:b w:val="0"/>
                <w:i w:val="0"/>
                <w:color w:val="1F2937"/>
                <w:sz w:val="19"/>
              </w:rPr>
              <w:t>只能证明一种可能的分子相互作用；还要看它改变的是有毒寡聚体、无毒复合物、炎症还是膜损伤，并确认候选肽是否有体内暴露。</w:t>
            </w:r>
          </w:p>
        </w:tc>
      </w:tr>
      <w:tr>
        <w:tc>
          <w:tcPr>
            <w:tcW w:type="dxa" w:w="4759"/>
          </w:tcPr>
          <w:p>
            <w:pPr>
              <w:spacing w:after="40" w:line="276" w:lineRule="auto"/>
            </w:pPr>
            <w:r/>
            <w:r>
              <w:rPr>
                <w:rFonts w:ascii="Times New Roman" w:hAnsi="Times New Roman" w:eastAsia="宋体"/>
                <w:b w:val="0"/>
                <w:i w:val="0"/>
                <w:color w:val="1F2937"/>
                <w:sz w:val="19"/>
              </w:rPr>
              <w:t>你是不是在找药物？</w:t>
            </w:r>
          </w:p>
        </w:tc>
        <w:tc>
          <w:tcPr>
            <w:tcW w:type="dxa" w:w="4759"/>
          </w:tcPr>
          <w:p>
            <w:pPr>
              <w:spacing w:after="40" w:line="276" w:lineRule="auto"/>
            </w:pPr>
            <w:r/>
            <w:r>
              <w:rPr>
                <w:rFonts w:ascii="Times New Roman" w:hAnsi="Times New Roman" w:eastAsia="宋体"/>
                <w:b w:val="0"/>
                <w:i w:val="0"/>
                <w:color w:val="1F2937"/>
                <w:sz w:val="19"/>
              </w:rPr>
              <w:t>本论文首先是差异性和病理关联研究，不是从头做 Aβ 抑制剂筛选。保护性/抑制性肽是结果解释中的一个亚类。</w:t>
            </w:r>
          </w:p>
        </w:tc>
      </w:tr>
      <w:tr>
        <w:tc>
          <w:tcPr>
            <w:tcW w:type="dxa" w:w="4759"/>
            <w:shd w:val="clear" w:color="auto" w:fill="F2F5F9"/>
          </w:tcPr>
          <w:p>
            <w:pPr>
              <w:spacing w:after="40" w:line="276" w:lineRule="auto"/>
            </w:pPr>
            <w:r/>
            <w:r>
              <w:rPr>
                <w:rFonts w:ascii="Times New Roman" w:hAnsi="Times New Roman" w:eastAsia="宋体"/>
                <w:b w:val="0"/>
                <w:i w:val="0"/>
                <w:color w:val="1F2937"/>
                <w:sz w:val="19"/>
              </w:rPr>
              <w:t>能不能说导致 AD？</w:t>
            </w:r>
          </w:p>
        </w:tc>
        <w:tc>
          <w:tcPr>
            <w:tcW w:type="dxa" w:w="4759"/>
            <w:shd w:val="clear" w:color="auto" w:fill="F2F5F9"/>
          </w:tcPr>
          <w:p>
            <w:pPr>
              <w:spacing w:after="40" w:line="276" w:lineRule="auto"/>
            </w:pPr>
            <w:r/>
            <w:r>
              <w:rPr>
                <w:rFonts w:ascii="Times New Roman" w:hAnsi="Times New Roman" w:eastAsia="宋体"/>
                <w:b w:val="0"/>
                <w:i w:val="0"/>
                <w:color w:val="1F2937"/>
                <w:sz w:val="19"/>
              </w:rPr>
              <w:t>横断面宏基因组和计算模拟不能直接说导致；本研究使用“AD 相关候选”和“可能参与机制”，因果需要干预验证。</w:t>
            </w:r>
          </w:p>
        </w:tc>
      </w:tr>
      <w:tr>
        <w:tc>
          <w:tcPr>
            <w:tcW w:type="dxa" w:w="4759"/>
          </w:tcPr>
          <w:p>
            <w:pPr>
              <w:spacing w:after="40" w:line="276" w:lineRule="auto"/>
            </w:pPr>
            <w:r/>
            <w:r>
              <w:rPr>
                <w:rFonts w:ascii="Times New Roman" w:hAnsi="Times New Roman" w:eastAsia="宋体"/>
                <w:b w:val="0"/>
                <w:i w:val="0"/>
                <w:color w:val="1F2937"/>
                <w:sz w:val="19"/>
              </w:rPr>
              <w:t>为什么做 MD？</w:t>
            </w:r>
          </w:p>
        </w:tc>
        <w:tc>
          <w:tcPr>
            <w:tcW w:type="dxa" w:w="4759"/>
          </w:tcPr>
          <w:p>
            <w:pPr>
              <w:spacing w:after="40" w:line="276" w:lineRule="auto"/>
            </w:pPr>
            <w:r/>
            <w:r>
              <w:rPr>
                <w:rFonts w:ascii="Times New Roman" w:hAnsi="Times New Roman" w:eastAsia="宋体"/>
                <w:b w:val="0"/>
                <w:i w:val="0"/>
                <w:color w:val="1F2937"/>
                <w:sz w:val="19"/>
              </w:rPr>
              <w:t>MD 把候选肽与菌膜、LPS、受体或 Aβ 的结构假设变成可量化读数，帮助排序和提出可验证预测，但不替代生物学验证。</w:t>
            </w:r>
          </w:p>
        </w:tc>
      </w:tr>
    </w:tbl>
    <w:p>
      <w:pPr>
        <w:spacing w:after="40"/>
      </w:pPr>
    </w:p>
    <w:p>
      <w:pPr>
        <w:spacing w:before="240" w:after="100" w:line="288" w:lineRule="auto"/>
      </w:pPr>
      <w:r>
        <w:rPr>
          <w:rFonts w:ascii="Times New Roman" w:hAnsi="Times New Roman" w:eastAsia="微软雅黑"/>
          <w:b/>
          <w:i w:val="0"/>
          <w:color w:val="10305A"/>
          <w:sz w:val="27"/>
        </w:rPr>
        <w:t>8.3 结论的推荐措辞</w:t>
      </w:r>
    </w:p>
    <w:p>
      <w:pPr>
        <w:spacing w:before="0" w:after="120" w:line="336" w:lineRule="auto"/>
        <w:ind w:firstLine="440"/>
      </w:pPr>
      <w:r>
        <w:rPr>
          <w:rFonts w:ascii="Times New Roman" w:hAnsi="Times New Roman" w:eastAsia="宋体"/>
          <w:b w:val="0"/>
          <w:i w:val="0"/>
          <w:color w:val="1F2937"/>
          <w:sz w:val="22"/>
        </w:rPr>
        <w:t>推荐写法：本研究筛选出与 AD 状态或病程相关的微生物源抗菌肽候选，并基于来源菌、生态网络、屏障/炎症通路及分子模拟对其潜在病理关联进行分层。部分候选可能通过 AMP 介导的菌群选择和肠-脑轴信号参与 AD 相关过程，另一些候选可能具有保护或抑制潜力；这些解释仍需表达、肽浓度和干预实验验证。</w:t>
      </w:r>
    </w:p>
    <w:p>
      <w:pPr>
        <w:spacing w:before="0" w:after="120" w:line="336" w:lineRule="auto"/>
        <w:ind w:firstLine="440"/>
      </w:pPr>
      <w:r>
        <w:rPr>
          <w:rFonts w:ascii="Times New Roman" w:hAnsi="Times New Roman" w:eastAsia="宋体"/>
          <w:b w:val="0"/>
          <w:i w:val="0"/>
          <w:color w:val="1F2937"/>
          <w:sz w:val="22"/>
        </w:rPr>
        <w:t>不推荐写法：筛选出导致 AD 的抗菌肽；所有 AD 差异肽都能穿过 BBB；与 Aβ 结合说明会导致 Aβ 聚集；MD 结果证明该肽致病；健康组肽就是治疗性抑制剂。</w:t>
      </w:r>
    </w:p>
    <w:p>
      <w:pPr>
        <w:spacing w:before="320" w:after="160" w:line="288" w:lineRule="auto"/>
      </w:pPr>
      <w:r>
        <w:rPr>
          <w:rFonts w:ascii="Times New Roman" w:hAnsi="Times New Roman" w:eastAsia="微软雅黑"/>
          <w:b/>
          <w:i w:val="0"/>
          <w:color w:val="10305A"/>
          <w:sz w:val="34"/>
        </w:rPr>
        <w:t>九、限制、验证和下一步</w:t>
      </w:r>
    </w:p>
    <w:p>
      <w:pPr>
        <w:spacing w:before="160" w:after="80" w:line="324" w:lineRule="auto"/>
      </w:pPr>
      <w:r>
        <w:rPr>
          <w:rFonts w:ascii="Times New Roman" w:hAnsi="Times New Roman" w:eastAsia="微软雅黑"/>
          <w:b/>
          <w:i w:val="0"/>
          <w:color w:val="10305A"/>
          <w:sz w:val="21"/>
        </w:rPr>
        <w:t>表 18　从计算关联走向因果需要补什么</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0305A"/>
          </w:tcPr>
          <w:p>
            <w:pPr>
              <w:jc w:val="center"/>
            </w:pPr>
            <w:r/>
            <w:r>
              <w:rPr>
                <w:rFonts w:ascii="Times New Roman" w:hAnsi="Times New Roman" w:eastAsia="微软雅黑"/>
                <w:b/>
                <w:i w:val="0"/>
                <w:color w:val="FFFFFF"/>
                <w:sz w:val="19"/>
              </w:rPr>
              <w:t>目前计算能做</w:t>
            </w:r>
          </w:p>
        </w:tc>
        <w:tc>
          <w:tcPr>
            <w:tcW w:type="dxa" w:w="3173"/>
            <w:shd w:val="clear" w:color="auto" w:fill="10305A"/>
          </w:tcPr>
          <w:p>
            <w:pPr>
              <w:jc w:val="center"/>
            </w:pPr>
            <w:r/>
            <w:r>
              <w:rPr>
                <w:rFonts w:ascii="Times New Roman" w:hAnsi="Times New Roman" w:eastAsia="微软雅黑"/>
                <w:b/>
                <w:i w:val="0"/>
                <w:color w:val="FFFFFF"/>
                <w:sz w:val="19"/>
              </w:rPr>
              <w:t>仍然缺少</w:t>
            </w:r>
          </w:p>
        </w:tc>
        <w:tc>
          <w:tcPr>
            <w:tcW w:type="dxa" w:w="3173"/>
            <w:shd w:val="clear" w:color="auto" w:fill="10305A"/>
          </w:tcPr>
          <w:p>
            <w:pPr>
              <w:jc w:val="center"/>
            </w:pPr>
            <w:r/>
            <w:r>
              <w:rPr>
                <w:rFonts w:ascii="Times New Roman" w:hAnsi="Times New Roman" w:eastAsia="微软雅黑"/>
                <w:b/>
                <w:i w:val="0"/>
                <w:color w:val="FFFFFF"/>
                <w:sz w:val="19"/>
              </w:rPr>
              <w:t>下一步验证</w:t>
            </w:r>
          </w:p>
        </w:tc>
      </w:tr>
      <w:tr>
        <w:tc>
          <w:tcPr>
            <w:tcW w:type="dxa" w:w="3173"/>
          </w:tcPr>
          <w:p>
            <w:pPr>
              <w:spacing w:after="40" w:line="276" w:lineRule="auto"/>
            </w:pPr>
            <w:r/>
            <w:r>
              <w:rPr>
                <w:rFonts w:ascii="Times New Roman" w:hAnsi="Times New Roman" w:eastAsia="宋体"/>
                <w:b w:val="0"/>
                <w:i w:val="0"/>
                <w:color w:val="1F2937"/>
                <w:sz w:val="19"/>
              </w:rPr>
              <w:t>从 DNA 序列预测 AMP</w:t>
            </w:r>
          </w:p>
        </w:tc>
        <w:tc>
          <w:tcPr>
            <w:tcW w:type="dxa" w:w="3173"/>
          </w:tcPr>
          <w:p>
            <w:pPr>
              <w:spacing w:after="40" w:line="276" w:lineRule="auto"/>
            </w:pPr>
            <w:r/>
            <w:r>
              <w:rPr>
                <w:rFonts w:ascii="Times New Roman" w:hAnsi="Times New Roman" w:eastAsia="宋体"/>
                <w:b w:val="0"/>
                <w:i w:val="0"/>
                <w:color w:val="1F2937"/>
                <w:sz w:val="19"/>
              </w:rPr>
              <w:t>真实表达和加工后的肽浓度</w:t>
            </w:r>
          </w:p>
        </w:tc>
        <w:tc>
          <w:tcPr>
            <w:tcW w:type="dxa" w:w="3173"/>
          </w:tcPr>
          <w:p>
            <w:pPr>
              <w:spacing w:after="40" w:line="276" w:lineRule="auto"/>
            </w:pPr>
            <w:r/>
            <w:r>
              <w:rPr>
                <w:rFonts w:ascii="Times New Roman" w:hAnsi="Times New Roman" w:eastAsia="宋体"/>
                <w:b w:val="0"/>
                <w:i w:val="0"/>
                <w:color w:val="1F2937"/>
                <w:sz w:val="19"/>
              </w:rPr>
              <w:t>宏转录组、宏蛋白组、靶向肽组学</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观察 AD/健康差异</w:t>
            </w:r>
          </w:p>
        </w:tc>
        <w:tc>
          <w:tcPr>
            <w:tcW w:type="dxa" w:w="3173"/>
            <w:shd w:val="clear" w:color="auto" w:fill="F2F5F9"/>
          </w:tcPr>
          <w:p>
            <w:pPr>
              <w:spacing w:after="40" w:line="276" w:lineRule="auto"/>
            </w:pPr>
            <w:r/>
            <w:r>
              <w:rPr>
                <w:rFonts w:ascii="Times New Roman" w:hAnsi="Times New Roman" w:eastAsia="宋体"/>
                <w:b w:val="0"/>
                <w:i w:val="0"/>
                <w:color w:val="1F2937"/>
                <w:sz w:val="19"/>
              </w:rPr>
              <w:t>时间先后和病程因果</w:t>
            </w:r>
          </w:p>
        </w:tc>
        <w:tc>
          <w:tcPr>
            <w:tcW w:type="dxa" w:w="3173"/>
            <w:shd w:val="clear" w:color="auto" w:fill="F2F5F9"/>
          </w:tcPr>
          <w:p>
            <w:pPr>
              <w:spacing w:after="40" w:line="276" w:lineRule="auto"/>
            </w:pPr>
            <w:r/>
            <w:r>
              <w:rPr>
                <w:rFonts w:ascii="Times New Roman" w:hAnsi="Times New Roman" w:eastAsia="宋体"/>
                <w:b w:val="0"/>
                <w:i w:val="0"/>
                <w:color w:val="1F2937"/>
                <w:sz w:val="19"/>
              </w:rPr>
              <w:t>纵向队列、重复测量、DAG/中介</w:t>
            </w:r>
          </w:p>
        </w:tc>
      </w:tr>
      <w:tr>
        <w:tc>
          <w:tcPr>
            <w:tcW w:type="dxa" w:w="3173"/>
          </w:tcPr>
          <w:p>
            <w:pPr>
              <w:spacing w:after="40" w:line="276" w:lineRule="auto"/>
            </w:pPr>
            <w:r/>
            <w:r>
              <w:rPr>
                <w:rFonts w:ascii="Times New Roman" w:hAnsi="Times New Roman" w:eastAsia="宋体"/>
                <w:b w:val="0"/>
                <w:i w:val="0"/>
                <w:color w:val="1F2937"/>
                <w:sz w:val="19"/>
              </w:rPr>
              <w:t>推测菌群选择作用</w:t>
            </w:r>
          </w:p>
        </w:tc>
        <w:tc>
          <w:tcPr>
            <w:tcW w:type="dxa" w:w="3173"/>
          </w:tcPr>
          <w:p>
            <w:pPr>
              <w:spacing w:after="40" w:line="276" w:lineRule="auto"/>
            </w:pPr>
            <w:r/>
            <w:r>
              <w:rPr>
                <w:rFonts w:ascii="Times New Roman" w:hAnsi="Times New Roman" w:eastAsia="宋体"/>
                <w:b w:val="0"/>
                <w:i w:val="0"/>
                <w:color w:val="1F2937"/>
                <w:sz w:val="19"/>
              </w:rPr>
              <w:t>活菌生态和宿主环境</w:t>
            </w:r>
          </w:p>
        </w:tc>
        <w:tc>
          <w:tcPr>
            <w:tcW w:type="dxa" w:w="3173"/>
          </w:tcPr>
          <w:p>
            <w:pPr>
              <w:spacing w:after="40" w:line="276" w:lineRule="auto"/>
            </w:pPr>
            <w:r/>
            <w:r>
              <w:rPr>
                <w:rFonts w:ascii="Times New Roman" w:hAnsi="Times New Roman" w:eastAsia="宋体"/>
                <w:b w:val="0"/>
                <w:i w:val="0"/>
                <w:color w:val="1F2937"/>
                <w:sz w:val="19"/>
              </w:rPr>
              <w:t>共培养、菌群模拟、动物或粪菌移植</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预测 LPS/受体/Aβ 结合</w:t>
            </w:r>
          </w:p>
        </w:tc>
        <w:tc>
          <w:tcPr>
            <w:tcW w:type="dxa" w:w="3173"/>
            <w:shd w:val="clear" w:color="auto" w:fill="F2F5F9"/>
          </w:tcPr>
          <w:p>
            <w:pPr>
              <w:spacing w:after="40" w:line="276" w:lineRule="auto"/>
            </w:pPr>
            <w:r/>
            <w:r>
              <w:rPr>
                <w:rFonts w:ascii="Times New Roman" w:hAnsi="Times New Roman" w:eastAsia="宋体"/>
                <w:b w:val="0"/>
                <w:i w:val="0"/>
                <w:color w:val="1F2937"/>
                <w:sz w:val="19"/>
              </w:rPr>
              <w:t>细胞信号和毒性方向</w:t>
            </w:r>
          </w:p>
        </w:tc>
        <w:tc>
          <w:tcPr>
            <w:tcW w:type="dxa" w:w="3173"/>
            <w:shd w:val="clear" w:color="auto" w:fill="F2F5F9"/>
          </w:tcPr>
          <w:p>
            <w:pPr>
              <w:spacing w:after="40" w:line="276" w:lineRule="auto"/>
            </w:pPr>
            <w:r/>
            <w:r>
              <w:rPr>
                <w:rFonts w:ascii="Times New Roman" w:hAnsi="Times New Roman" w:eastAsia="宋体"/>
                <w:b w:val="0"/>
                <w:i w:val="0"/>
                <w:color w:val="1F2937"/>
                <w:sz w:val="19"/>
              </w:rPr>
              <w:t>受体阻断、微胶质/上皮细胞实验</w:t>
            </w:r>
          </w:p>
        </w:tc>
      </w:tr>
      <w:tr>
        <w:tc>
          <w:tcPr>
            <w:tcW w:type="dxa" w:w="3173"/>
          </w:tcPr>
          <w:p>
            <w:pPr>
              <w:spacing w:after="40" w:line="276" w:lineRule="auto"/>
            </w:pPr>
            <w:r/>
            <w:r>
              <w:rPr>
                <w:rFonts w:ascii="Times New Roman" w:hAnsi="Times New Roman" w:eastAsia="宋体"/>
                <w:b w:val="0"/>
                <w:i w:val="0"/>
                <w:color w:val="1F2937"/>
                <w:sz w:val="19"/>
              </w:rPr>
              <w:t>预测 BBB 通量</w:t>
            </w:r>
          </w:p>
        </w:tc>
        <w:tc>
          <w:tcPr>
            <w:tcW w:type="dxa" w:w="3173"/>
          </w:tcPr>
          <w:p>
            <w:pPr>
              <w:spacing w:after="40" w:line="276" w:lineRule="auto"/>
            </w:pPr>
            <w:r/>
            <w:r>
              <w:rPr>
                <w:rFonts w:ascii="Times New Roman" w:hAnsi="Times New Roman" w:eastAsia="宋体"/>
                <w:b w:val="0"/>
                <w:i w:val="0"/>
                <w:color w:val="1F2937"/>
                <w:sz w:val="19"/>
              </w:rPr>
              <w:t>人体脑暴露</w:t>
            </w:r>
          </w:p>
        </w:tc>
        <w:tc>
          <w:tcPr>
            <w:tcW w:type="dxa" w:w="3173"/>
          </w:tcPr>
          <w:p>
            <w:pPr>
              <w:spacing w:after="40" w:line="276" w:lineRule="auto"/>
            </w:pPr>
            <w:r/>
            <w:r>
              <w:rPr>
                <w:rFonts w:ascii="Times New Roman" w:hAnsi="Times New Roman" w:eastAsia="宋体"/>
                <w:b w:val="0"/>
                <w:i w:val="0"/>
                <w:color w:val="1F2937"/>
                <w:sz w:val="19"/>
              </w:rPr>
              <w:t>血液/CSF/脑组织检测和 BBB 模型</w:t>
            </w:r>
          </w:p>
        </w:tc>
      </w:tr>
      <w:tr>
        <w:tc>
          <w:tcPr>
            <w:tcW w:type="dxa" w:w="3173"/>
            <w:shd w:val="clear" w:color="auto" w:fill="F2F5F9"/>
          </w:tcPr>
          <w:p>
            <w:pPr>
              <w:spacing w:after="40" w:line="276" w:lineRule="auto"/>
            </w:pPr>
            <w:r/>
            <w:r>
              <w:rPr>
                <w:rFonts w:ascii="Times New Roman" w:hAnsi="Times New Roman" w:eastAsia="宋体"/>
                <w:b w:val="0"/>
                <w:i w:val="0"/>
                <w:color w:val="1F2937"/>
                <w:sz w:val="19"/>
              </w:rPr>
              <w:t>提出风险或保护标签</w:t>
            </w:r>
          </w:p>
        </w:tc>
        <w:tc>
          <w:tcPr>
            <w:tcW w:type="dxa" w:w="3173"/>
            <w:shd w:val="clear" w:color="auto" w:fill="F2F5F9"/>
          </w:tcPr>
          <w:p>
            <w:pPr>
              <w:spacing w:after="40" w:line="276" w:lineRule="auto"/>
            </w:pPr>
            <w:r/>
            <w:r>
              <w:rPr>
                <w:rFonts w:ascii="Times New Roman" w:hAnsi="Times New Roman" w:eastAsia="宋体"/>
                <w:b w:val="0"/>
                <w:i w:val="0"/>
                <w:color w:val="1F2937"/>
                <w:sz w:val="19"/>
              </w:rPr>
              <w:t>干预后表型逆转</w:t>
            </w:r>
          </w:p>
        </w:tc>
        <w:tc>
          <w:tcPr>
            <w:tcW w:type="dxa" w:w="3173"/>
            <w:shd w:val="clear" w:color="auto" w:fill="F2F5F9"/>
          </w:tcPr>
          <w:p>
            <w:pPr>
              <w:spacing w:after="40" w:line="276" w:lineRule="auto"/>
            </w:pPr>
            <w:r/>
            <w:r>
              <w:rPr>
                <w:rFonts w:ascii="Times New Roman" w:hAnsi="Times New Roman" w:eastAsia="宋体"/>
                <w:b w:val="0"/>
                <w:i w:val="0"/>
                <w:color w:val="1F2937"/>
                <w:sz w:val="19"/>
              </w:rPr>
              <w:t>加入、去除、敲低或中和候选肽</w:t>
            </w:r>
          </w:p>
        </w:tc>
      </w:tr>
    </w:tbl>
    <w:p>
      <w:pPr>
        <w:spacing w:after="40"/>
      </w:pPr>
    </w:p>
    <w:p>
      <w:pPr>
        <w:spacing w:before="0" w:after="120" w:line="336" w:lineRule="auto"/>
        <w:ind w:firstLine="440"/>
      </w:pPr>
      <w:r>
        <w:rPr>
          <w:rFonts w:ascii="Times New Roman" w:hAnsi="Times New Roman" w:eastAsia="宋体"/>
          <w:b w:val="0"/>
          <w:i w:val="0"/>
          <w:color w:val="1F2937"/>
          <w:sz w:val="22"/>
        </w:rPr>
        <w:t>最终的论文逻辑闭环应是：深度学习扩大候选发现能力；差异分析回答 AD 与健康的不同；生态和组学分析解释肠道来源；MD/QM 只对优先级候选提供结构机制证据；验证实验区分风险样与保护样；因果结论留给干预证据。这样就能把“筛选出的抗菌肽”和你的论文题目讲通。</w:t>
      </w:r>
    </w:p>
    <w:p>
      <w:pPr>
        <w:spacing w:before="40" w:after="120" w:line="324" w:lineRule="auto"/>
        <w:ind w:firstLine="200"/>
      </w:pPr>
      <w:r>
        <w:rPr>
          <w:rFonts w:ascii="Times New Roman" w:hAnsi="Times New Roman" w:eastAsia="楷体"/>
          <w:b w:val="0"/>
          <w:i/>
          <w:color w:val="555555"/>
          <w:sz w:val="20"/>
        </w:rPr>
        <w:t>▶ 本交付物的核心纠偏：主对象是“AD 相关差异微生物源 AMP”，不是泛泛的 Aβ 结合肽，也不是预先筛选的 Aβ 抑制剂。</w:t>
      </w:r>
    </w:p>
    <w:p>
      <w:pPr>
        <w:spacing w:before="320" w:after="160" w:line="288" w:lineRule="auto"/>
      </w:pPr>
      <w:r>
        <w:rPr>
          <w:rFonts w:ascii="Times New Roman" w:hAnsi="Times New Roman" w:eastAsia="微软雅黑"/>
          <w:b/>
          <w:i w:val="0"/>
          <w:color w:val="10305A"/>
          <w:sz w:val="34"/>
        </w:rPr>
        <w:t>附录：建议引用的关键文献分组</w:t>
      </w:r>
    </w:p>
    <w:p>
      <w:pPr>
        <w:spacing w:before="240" w:after="100" w:line="288" w:lineRule="auto"/>
      </w:pPr>
      <w:r>
        <w:rPr>
          <w:rFonts w:ascii="Times New Roman" w:hAnsi="Times New Roman" w:eastAsia="微软雅黑"/>
          <w:b/>
          <w:i w:val="0"/>
          <w:color w:val="10305A"/>
          <w:sz w:val="27"/>
        </w:rPr>
        <w:t>A. AMP 发现与深度学习</w:t>
      </w:r>
    </w:p>
    <w:p>
      <w:pPr>
        <w:spacing w:before="0" w:after="120" w:line="336" w:lineRule="auto"/>
        <w:ind w:firstLine="440"/>
      </w:pPr>
      <w:r>
        <w:rPr>
          <w:rFonts w:ascii="Times New Roman" w:hAnsi="Times New Roman" w:eastAsia="宋体"/>
          <w:b w:val="0"/>
          <w:i w:val="0"/>
          <w:color w:val="1F2937"/>
          <w:sz w:val="22"/>
        </w:rPr>
        <w:t>肠道微生物组 AMP 挖掘应引用 Ma 等的 Attention/LSTM/BERT 统一流程，Macrel、AMPlify、AMPSphere 和 FMT 粪便流程作为工具与交叉验证依据。这里的文献证明“可以从微生物组找到 AMP”，不证明这些 AMP 会导致 AD。[1，37，38，39，40，2]</w:t>
      </w:r>
    </w:p>
    <w:p>
      <w:pPr>
        <w:spacing w:before="240" w:after="100" w:line="288" w:lineRule="auto"/>
      </w:pPr>
      <w:r>
        <w:rPr>
          <w:rFonts w:ascii="Times New Roman" w:hAnsi="Times New Roman" w:eastAsia="微软雅黑"/>
          <w:b/>
          <w:i w:val="0"/>
          <w:color w:val="10305A"/>
          <w:sz w:val="27"/>
        </w:rPr>
        <w:t>B. 肠道 AMP 与生态</w:t>
      </w:r>
    </w:p>
    <w:p>
      <w:pPr>
        <w:spacing w:before="0" w:after="120" w:line="336" w:lineRule="auto"/>
        <w:ind w:firstLine="440"/>
      </w:pPr>
      <w:r>
        <w:rPr>
          <w:rFonts w:ascii="Times New Roman" w:hAnsi="Times New Roman" w:eastAsia="宋体"/>
          <w:b w:val="0"/>
          <w:i w:val="0"/>
          <w:color w:val="1F2937"/>
          <w:sz w:val="22"/>
        </w:rPr>
        <w:t>α-防御素、RegIIIγ、Paneth 细胞和 HD-6 纳米网研究说明宿主 AMP 能够塑造肠道微生态和空间屏障；这些研究支持“AMP 可能是肠道生态桥梁”，但不能替代你自己的 AD 差异分析。[8，16，17，7，18]</w:t>
      </w:r>
    </w:p>
    <w:p>
      <w:pPr>
        <w:spacing w:before="240" w:after="100" w:line="288" w:lineRule="auto"/>
      </w:pPr>
      <w:r>
        <w:rPr>
          <w:rFonts w:ascii="Times New Roman" w:hAnsi="Times New Roman" w:eastAsia="微软雅黑"/>
          <w:b/>
          <w:i w:val="0"/>
          <w:color w:val="10305A"/>
          <w:sz w:val="27"/>
        </w:rPr>
        <w:t>C. AD 肠道与炎症</w:t>
      </w:r>
    </w:p>
    <w:p>
      <w:pPr>
        <w:spacing w:before="0" w:after="120" w:line="336" w:lineRule="auto"/>
        <w:ind w:firstLine="440"/>
      </w:pPr>
      <w:r>
        <w:rPr>
          <w:rFonts w:ascii="Times New Roman" w:hAnsi="Times New Roman" w:eastAsia="宋体"/>
          <w:b w:val="0"/>
          <w:i w:val="0"/>
          <w:color w:val="1F2937"/>
          <w:sz w:val="22"/>
        </w:rPr>
        <w:t>Vogt、Cattaneo、Zhuang、Minter、Marizzoni、Harach 和肠-脑轴综述分别支持 AD 人群差异、促炎菌与炎症、动物模型、抗生素扰动、LPS/SCFA 中介及菌群缺失效应。它们是机制链的上游和中游证据。[5，6，70，71，72，13，73，50，51，21，74]</w:t>
      </w:r>
    </w:p>
    <w:p>
      <w:pPr>
        <w:spacing w:before="240" w:after="100" w:line="288" w:lineRule="auto"/>
      </w:pPr>
      <w:r>
        <w:rPr>
          <w:rFonts w:ascii="Times New Roman" w:hAnsi="Times New Roman" w:eastAsia="微软雅黑"/>
          <w:b/>
          <w:i w:val="0"/>
          <w:color w:val="10305A"/>
          <w:sz w:val="27"/>
        </w:rPr>
        <w:t>D. AMP、Aβ 与直接病理模板</w:t>
      </w:r>
    </w:p>
    <w:p>
      <w:pPr>
        <w:spacing w:before="0" w:after="120" w:line="336" w:lineRule="auto"/>
        <w:ind w:firstLine="440"/>
      </w:pPr>
      <w:r>
        <w:rPr>
          <w:rFonts w:ascii="Times New Roman" w:hAnsi="Times New Roman" w:eastAsia="宋体"/>
          <w:b w:val="0"/>
          <w:i w:val="0"/>
          <w:color w:val="1F2937"/>
          <w:sz w:val="22"/>
        </w:rPr>
        <w:t>Soscia 和 Kumar 支持 Aβ 的先天免疫/抗菌属性；De Lorenzi、Chem Soc Rev 和防御素研究说明 AMP-Aβ 相互作用具有双向性；Chen 的 LL-37-CLIC1 研究提供宿主 AMP 直接促进 AD 样病理的强模板。它们共同说明：必须区分宿主 AMP 与微生物 AMP，并把结合、聚集方向、炎症和暴露分开。[10，11，3，75，76，4，9，59]</w:t>
      </w:r>
    </w:p>
    <w:p>
      <w:pPr>
        <w:spacing w:before="240" w:after="100" w:line="288" w:lineRule="auto"/>
      </w:pPr>
      <w:r>
        <w:rPr>
          <w:rFonts w:ascii="Times New Roman" w:hAnsi="Times New Roman" w:eastAsia="微软雅黑"/>
          <w:b/>
          <w:i w:val="0"/>
          <w:color w:val="10305A"/>
          <w:sz w:val="27"/>
        </w:rPr>
        <w:t>E. 计算方法</w:t>
      </w:r>
    </w:p>
    <w:p>
      <w:pPr>
        <w:spacing w:before="0" w:after="120" w:line="336" w:lineRule="auto"/>
        <w:ind w:firstLine="440"/>
      </w:pPr>
      <w:r>
        <w:rPr>
          <w:rFonts w:ascii="Times New Roman" w:hAnsi="Times New Roman" w:eastAsia="宋体"/>
          <w:b w:val="0"/>
          <w:i w:val="0"/>
          <w:color w:val="1F2937"/>
          <w:sz w:val="22"/>
        </w:rPr>
        <w:t>宏基因组流程可用 fastp、Bowtie2、MEGAHIT、metaSPAdes、MetaBAT2、CheckM、Prodigal；差异分析用组成性方法；结构模拟用 GROMACS/CHARMM36m、umbrella/WHAM、gmx_MMPBSA、DFT/SAPT/QM-MM，并将结果限于候选排序和可检验机制。[27，28，29，30，32，33，34，77，78，79，80，81，82，83]</w:t>
      </w:r>
    </w:p>
    <w:p>
      <w:r>
        <w:br w:type="page"/>
      </w:r>
    </w:p>
    <w:p>
      <w:pPr>
        <w:spacing w:before="0" w:after="160" w:line="324" w:lineRule="auto"/>
      </w:pPr>
      <w:r>
        <w:rPr>
          <w:rFonts w:ascii="Times New Roman" w:hAnsi="Times New Roman" w:eastAsia="微软雅黑"/>
          <w:b/>
          <w:i w:val="0"/>
          <w:color w:val="10305A"/>
          <w:sz w:val="34"/>
        </w:rPr>
        <w:t>参考文献</w:t>
      </w:r>
    </w:p>
    <w:p>
      <w:pPr>
        <w:spacing w:before="0" w:after="160" w:line="324" w:lineRule="auto"/>
      </w:pPr>
      <w:r>
        <w:rPr>
          <w:rFonts w:ascii="Times New Roman" w:hAnsi="Times New Roman" w:eastAsia="楷体"/>
          <w:b w:val="0"/>
          <w:i/>
          <w:color w:val="555555"/>
          <w:sz w:val="20"/>
        </w:rPr>
        <w:t>（编号与正文方括号一致；带 DOI/PMID/PMC 的条目可直接检索核验原文。本次共引用 83 条。）</w:t>
      </w:r>
    </w:p>
    <w:p>
      <w:pPr>
        <w:spacing w:after="60" w:line="300" w:lineRule="auto"/>
        <w:ind w:left="510" w:hanging="510"/>
      </w:pPr>
      <w:r>
        <w:rPr>
          <w:rFonts w:ascii="Times New Roman" w:hAnsi="Times New Roman" w:eastAsia="宋体"/>
          <w:b/>
          <w:i w:val="0"/>
          <w:color w:val="10305A"/>
          <w:sz w:val="19"/>
        </w:rPr>
        <w:t xml:space="preserve">[1] </w:t>
      </w:r>
      <w:r>
        <w:rPr>
          <w:rFonts w:ascii="Times New Roman" w:hAnsi="Times New Roman" w:eastAsia="宋体"/>
          <w:b w:val="0"/>
          <w:i w:val="0"/>
          <w:color w:val="1F2937"/>
          <w:sz w:val="19"/>
        </w:rPr>
        <w:t>Ma Y, Guo Z, Xia B, et al. Identification of antimicrobial peptides from the human gut microbiome using deep learning. Nature Biotechnology. 2022;40(6):921-931. DOI: 10.1038/s41587-022-01226-0; PMID: 35241840.</w:t>
      </w:r>
    </w:p>
    <w:p>
      <w:pPr>
        <w:spacing w:after="60" w:line="300" w:lineRule="auto"/>
        <w:ind w:left="510" w:hanging="510"/>
      </w:pPr>
      <w:r>
        <w:rPr>
          <w:rFonts w:ascii="Times New Roman" w:hAnsi="Times New Roman" w:eastAsia="宋体"/>
          <w:b/>
          <w:i w:val="0"/>
          <w:color w:val="10305A"/>
          <w:sz w:val="19"/>
        </w:rPr>
        <w:t xml:space="preserve">[2] </w:t>
      </w:r>
      <w:r>
        <w:rPr>
          <w:rFonts w:ascii="Times New Roman" w:hAnsi="Times New Roman" w:eastAsia="宋体"/>
          <w:b w:val="0"/>
          <w:i w:val="0"/>
          <w:color w:val="1F2937"/>
          <w:sz w:val="19"/>
        </w:rPr>
        <w:t>【缺失文献：wan2024_ml】</w:t>
      </w:r>
    </w:p>
    <w:p>
      <w:pPr>
        <w:spacing w:after="60" w:line="300" w:lineRule="auto"/>
        <w:ind w:left="510" w:hanging="510"/>
      </w:pPr>
      <w:r>
        <w:rPr>
          <w:rFonts w:ascii="Times New Roman" w:hAnsi="Times New Roman" w:eastAsia="宋体"/>
          <w:b/>
          <w:i w:val="0"/>
          <w:color w:val="10305A"/>
          <w:sz w:val="19"/>
        </w:rPr>
        <w:t xml:space="preserve">[3] </w:t>
      </w:r>
      <w:r>
        <w:rPr>
          <w:rFonts w:ascii="Times New Roman" w:hAnsi="Times New Roman" w:eastAsia="宋体"/>
          <w:b w:val="0"/>
          <w:i w:val="0"/>
          <w:color w:val="1F2937"/>
          <w:sz w:val="19"/>
        </w:rPr>
        <w:t>De Lorenzi E, Chiari M, Colombo R, et al. Evidence that the human innate immune peptide LL-37 may be a binding partner of amyloid-β and inhibitor of fibril assembly. Journal of Alzheimer’s Disease. 2017;59(4):1213-1226. DOI: 10.3233/JAD-170223; PMID: 28731438.</w:t>
      </w:r>
    </w:p>
    <w:p>
      <w:pPr>
        <w:spacing w:after="60" w:line="300" w:lineRule="auto"/>
        <w:ind w:left="510" w:hanging="510"/>
      </w:pPr>
      <w:r>
        <w:rPr>
          <w:rFonts w:ascii="Times New Roman" w:hAnsi="Times New Roman" w:eastAsia="宋体"/>
          <w:b/>
          <w:i w:val="0"/>
          <w:color w:val="10305A"/>
          <w:sz w:val="19"/>
        </w:rPr>
        <w:t xml:space="preserve">[4] </w:t>
      </w:r>
      <w:r>
        <w:rPr>
          <w:rFonts w:ascii="Times New Roman" w:hAnsi="Times New Roman" w:eastAsia="宋体"/>
          <w:b w:val="0"/>
          <w:i w:val="0"/>
          <w:color w:val="1F2937"/>
          <w:sz w:val="19"/>
        </w:rPr>
        <w:t>Zhang Y, et al. Exploring pathological link between antimicrobial and amyloid peptides. Chemical Society Reviews. 2024. DOI: 10.1039/D3CS00878A.</w:t>
      </w:r>
    </w:p>
    <w:p>
      <w:pPr>
        <w:spacing w:after="60" w:line="300" w:lineRule="auto"/>
        <w:ind w:left="510" w:hanging="510"/>
      </w:pPr>
      <w:r>
        <w:rPr>
          <w:rFonts w:ascii="Times New Roman" w:hAnsi="Times New Roman" w:eastAsia="宋体"/>
          <w:b/>
          <w:i w:val="0"/>
          <w:color w:val="10305A"/>
          <w:sz w:val="19"/>
        </w:rPr>
        <w:t xml:space="preserve">[5] </w:t>
      </w:r>
      <w:r>
        <w:rPr>
          <w:rFonts w:ascii="Times New Roman" w:hAnsi="Times New Roman" w:eastAsia="宋体"/>
          <w:b w:val="0"/>
          <w:i w:val="0"/>
          <w:color w:val="1F2937"/>
          <w:sz w:val="19"/>
        </w:rPr>
        <w:t>Vogt NM, Kerby RL, Dill-McFarland KA, et al. Gut microbiome alterations in Alzheimer's disease. Sci Rep. 2017;7:13537.</w:t>
      </w:r>
    </w:p>
    <w:p>
      <w:pPr>
        <w:spacing w:after="60" w:line="300" w:lineRule="auto"/>
        <w:ind w:left="510" w:hanging="510"/>
      </w:pPr>
      <w:r>
        <w:rPr>
          <w:rFonts w:ascii="Times New Roman" w:hAnsi="Times New Roman" w:eastAsia="宋体"/>
          <w:b/>
          <w:i w:val="0"/>
          <w:color w:val="10305A"/>
          <w:sz w:val="19"/>
        </w:rPr>
        <w:t xml:space="preserve">[6] </w:t>
      </w:r>
      <w:r>
        <w:rPr>
          <w:rFonts w:ascii="Times New Roman" w:hAnsi="Times New Roman" w:eastAsia="宋体"/>
          <w:b w:val="0"/>
          <w:i w:val="0"/>
          <w:color w:val="1F2937"/>
          <w:sz w:val="19"/>
        </w:rPr>
        <w:t>Cattaneo A, Cattane N, Galluzzi S, et al. Association of brain amyloidosis with pro-inflammatory gut bacterial taxa and peripheral inflammation markers in cognitively impaired elderly. Neurobiol Aging. 2017;49:60-68.</w:t>
      </w:r>
    </w:p>
    <w:p>
      <w:pPr>
        <w:spacing w:after="60" w:line="300" w:lineRule="auto"/>
        <w:ind w:left="510" w:hanging="510"/>
      </w:pPr>
      <w:r>
        <w:rPr>
          <w:rFonts w:ascii="Times New Roman" w:hAnsi="Times New Roman" w:eastAsia="宋体"/>
          <w:b/>
          <w:i w:val="0"/>
          <w:color w:val="10305A"/>
          <w:sz w:val="19"/>
        </w:rPr>
        <w:t xml:space="preserve">[7] </w:t>
      </w:r>
      <w:r>
        <w:rPr>
          <w:rFonts w:ascii="Times New Roman" w:hAnsi="Times New Roman" w:eastAsia="宋体"/>
          <w:b w:val="0"/>
          <w:i w:val="0"/>
          <w:color w:val="1F2937"/>
          <w:sz w:val="19"/>
        </w:rPr>
        <w:t>Bevins CL, Salzman NH. Paneth cells, antimicrobial peptides and maintenance of intestinal homeostasis. Nat Rev Microbiol. 2011;9(5):356-368.</w:t>
      </w:r>
    </w:p>
    <w:p>
      <w:pPr>
        <w:spacing w:after="60" w:line="300" w:lineRule="auto"/>
        <w:ind w:left="510" w:hanging="510"/>
      </w:pPr>
      <w:r>
        <w:rPr>
          <w:rFonts w:ascii="Times New Roman" w:hAnsi="Times New Roman" w:eastAsia="宋体"/>
          <w:b/>
          <w:i w:val="0"/>
          <w:color w:val="10305A"/>
          <w:sz w:val="19"/>
        </w:rPr>
        <w:t xml:space="preserve">[8] </w:t>
      </w:r>
      <w:r>
        <w:rPr>
          <w:rFonts w:ascii="Times New Roman" w:hAnsi="Times New Roman" w:eastAsia="宋体"/>
          <w:b w:val="0"/>
          <w:i w:val="0"/>
          <w:color w:val="1F2937"/>
          <w:sz w:val="19"/>
        </w:rPr>
        <w:t>Salzman NH, Hung K, Haribhai D, et al. Enteric defensins are essential regulators of intestinal microbial ecology. Nat Immunol. 2010;11(1):76-83. DOI: 10.1038/ni.1825</w:t>
      </w:r>
    </w:p>
    <w:p>
      <w:pPr>
        <w:spacing w:after="60" w:line="300" w:lineRule="auto"/>
        <w:ind w:left="510" w:hanging="510"/>
      </w:pPr>
      <w:r>
        <w:rPr>
          <w:rFonts w:ascii="Times New Roman" w:hAnsi="Times New Roman" w:eastAsia="宋体"/>
          <w:b/>
          <w:i w:val="0"/>
          <w:color w:val="10305A"/>
          <w:sz w:val="19"/>
        </w:rPr>
        <w:t xml:space="preserve">[9] </w:t>
      </w:r>
      <w:r>
        <w:rPr>
          <w:rFonts w:ascii="Times New Roman" w:hAnsi="Times New Roman" w:eastAsia="宋体"/>
          <w:b w:val="0"/>
          <w:i w:val="0"/>
          <w:color w:val="1F2937"/>
          <w:sz w:val="19"/>
        </w:rPr>
        <w:t>Chen X, Deng S, Wang W, et al. Human antimicrobial peptide LL-37 contributes to Alzheimer’s disease progression. Molecular Psychiatry. 2022;27:4790-4799. DOI: 10.1038/s41380-022-01790-6; PMID: 36138130.</w:t>
      </w:r>
    </w:p>
    <w:p>
      <w:pPr>
        <w:spacing w:after="60" w:line="300" w:lineRule="auto"/>
        <w:ind w:left="510" w:hanging="510"/>
      </w:pPr>
      <w:r>
        <w:rPr>
          <w:rFonts w:ascii="Times New Roman" w:hAnsi="Times New Roman" w:eastAsia="宋体"/>
          <w:b/>
          <w:i w:val="0"/>
          <w:color w:val="10305A"/>
          <w:sz w:val="19"/>
        </w:rPr>
        <w:t xml:space="preserve">[10] </w:t>
      </w:r>
      <w:r>
        <w:rPr>
          <w:rFonts w:ascii="Times New Roman" w:hAnsi="Times New Roman" w:eastAsia="宋体"/>
          <w:b w:val="0"/>
          <w:i w:val="0"/>
          <w:color w:val="1F2937"/>
          <w:sz w:val="19"/>
        </w:rPr>
        <w:t>Soscia SJ, Kirby JE, Washicosky KJ, et al. The Alzheimer's disease-associated amyloid β-protein is an antimicrobial peptide. PLoS ONE. 2010;5(3):e9505. PMID: 20376360</w:t>
      </w:r>
    </w:p>
    <w:p>
      <w:pPr>
        <w:spacing w:after="60" w:line="300" w:lineRule="auto"/>
        <w:ind w:left="510" w:hanging="510"/>
      </w:pPr>
      <w:r>
        <w:rPr>
          <w:rFonts w:ascii="Times New Roman" w:hAnsi="Times New Roman" w:eastAsia="宋体"/>
          <w:b/>
          <w:i w:val="0"/>
          <w:color w:val="10305A"/>
          <w:sz w:val="19"/>
        </w:rPr>
        <w:t xml:space="preserve">[11] </w:t>
      </w:r>
      <w:r>
        <w:rPr>
          <w:rFonts w:ascii="Times New Roman" w:hAnsi="Times New Roman" w:eastAsia="宋体"/>
          <w:b w:val="0"/>
          <w:i w:val="0"/>
          <w:color w:val="1F2937"/>
          <w:sz w:val="19"/>
        </w:rPr>
        <w:t>Kumar DK, Choi SH, Washicosky KJ, et al. Amyloid-β peptide protects against microbial infection in mouse and worm models of Alzheimer's disease. Sci Transl Med. 2016;8(340):340ra72.</w:t>
      </w:r>
    </w:p>
    <w:p>
      <w:pPr>
        <w:spacing w:after="60" w:line="300" w:lineRule="auto"/>
        <w:ind w:left="510" w:hanging="510"/>
      </w:pPr>
      <w:r>
        <w:rPr>
          <w:rFonts w:ascii="Times New Roman" w:hAnsi="Times New Roman" w:eastAsia="宋体"/>
          <w:b/>
          <w:i w:val="0"/>
          <w:color w:val="10305A"/>
          <w:sz w:val="19"/>
        </w:rPr>
        <w:t xml:space="preserve">[12] </w:t>
      </w:r>
      <w:r>
        <w:rPr>
          <w:rFonts w:ascii="Times New Roman" w:hAnsi="Times New Roman" w:eastAsia="宋体"/>
          <w:b w:val="0"/>
          <w:i w:val="0"/>
          <w:color w:val="1F2937"/>
          <w:sz w:val="19"/>
        </w:rPr>
        <w:t>Mechanistic insights into the role of amyloid-β in innate immunity. Scientific Reports. 2024;14:55423.</w:t>
      </w:r>
    </w:p>
    <w:p>
      <w:pPr>
        <w:spacing w:after="60" w:line="300" w:lineRule="auto"/>
        <w:ind w:left="510" w:hanging="510"/>
      </w:pPr>
      <w:r>
        <w:rPr>
          <w:rFonts w:ascii="Times New Roman" w:hAnsi="Times New Roman" w:eastAsia="宋体"/>
          <w:b/>
          <w:i w:val="0"/>
          <w:color w:val="10305A"/>
          <w:sz w:val="19"/>
        </w:rPr>
        <w:t xml:space="preserve">[13] </w:t>
      </w:r>
      <w:r>
        <w:rPr>
          <w:rFonts w:ascii="Times New Roman" w:hAnsi="Times New Roman" w:eastAsia="宋体"/>
          <w:b w:val="0"/>
          <w:i w:val="0"/>
          <w:color w:val="1F2937"/>
          <w:sz w:val="19"/>
        </w:rPr>
        <w:t>Marizzoni M, Cattaneo A, Mirabelli P, et al. Short-chain fatty acids and lipopolysaccharide as mediators between gut dysbiosis and amyloid pathology in Alzheimer's disease. J Alzheimers Dis. 2020;78(2):683-697.</w:t>
      </w:r>
    </w:p>
    <w:p>
      <w:pPr>
        <w:spacing w:after="60" w:line="300" w:lineRule="auto"/>
        <w:ind w:left="510" w:hanging="510"/>
      </w:pPr>
      <w:r>
        <w:rPr>
          <w:rFonts w:ascii="Times New Roman" w:hAnsi="Times New Roman" w:eastAsia="宋体"/>
          <w:b/>
          <w:i w:val="0"/>
          <w:color w:val="10305A"/>
          <w:sz w:val="19"/>
        </w:rPr>
        <w:t xml:space="preserve">[14] </w:t>
      </w:r>
      <w:r>
        <w:rPr>
          <w:rFonts w:ascii="Times New Roman" w:hAnsi="Times New Roman" w:eastAsia="宋体"/>
          <w:b w:val="0"/>
          <w:i w:val="0"/>
          <w:color w:val="1F2937"/>
          <w:sz w:val="19"/>
        </w:rPr>
        <w:t>Zhan X, Stamova B, Jin LW, et al. Gram-negative bacterial molecules associate with Alzheimer disease pathology. Neurology. 2016;87(22):2324-2332.</w:t>
      </w:r>
    </w:p>
    <w:p>
      <w:pPr>
        <w:spacing w:after="60" w:line="300" w:lineRule="auto"/>
        <w:ind w:left="510" w:hanging="510"/>
      </w:pPr>
      <w:r>
        <w:rPr>
          <w:rFonts w:ascii="Times New Roman" w:hAnsi="Times New Roman" w:eastAsia="宋体"/>
          <w:b/>
          <w:i w:val="0"/>
          <w:color w:val="10305A"/>
          <w:sz w:val="19"/>
        </w:rPr>
        <w:t xml:space="preserve">[15] </w:t>
      </w:r>
      <w:r>
        <w:rPr>
          <w:rFonts w:ascii="Times New Roman" w:hAnsi="Times New Roman" w:eastAsia="宋体"/>
          <w:b w:val="0"/>
          <w:i w:val="0"/>
          <w:color w:val="1F2937"/>
          <w:sz w:val="19"/>
        </w:rPr>
        <w:t>Mallick H, Rahnavard A, McIver LJ, et al. Multivariable association discovery in population-scale meta-omics studies. PLoS Comput Biol. 2021;17(11):e1009442.</w:t>
      </w:r>
    </w:p>
    <w:p>
      <w:pPr>
        <w:spacing w:after="60" w:line="300" w:lineRule="auto"/>
        <w:ind w:left="510" w:hanging="510"/>
      </w:pPr>
      <w:r>
        <w:rPr>
          <w:rFonts w:ascii="Times New Roman" w:hAnsi="Times New Roman" w:eastAsia="宋体"/>
          <w:b/>
          <w:i w:val="0"/>
          <w:color w:val="10305A"/>
          <w:sz w:val="19"/>
        </w:rPr>
        <w:t xml:space="preserve">[16] </w:t>
      </w:r>
      <w:r>
        <w:rPr>
          <w:rFonts w:ascii="Times New Roman" w:hAnsi="Times New Roman" w:eastAsia="宋体"/>
          <w:b w:val="0"/>
          <w:i w:val="0"/>
          <w:color w:val="1F2937"/>
          <w:sz w:val="19"/>
        </w:rPr>
        <w:t>Vaishnava S, Yamamoto M, Severson KM, et al. The antibacterial lectin RegIIIγ promotes the spatial segregation of microbiota and host in the intestine. Science. 2011;334(6053):255-258.</w:t>
      </w:r>
    </w:p>
    <w:p>
      <w:pPr>
        <w:spacing w:after="60" w:line="300" w:lineRule="auto"/>
        <w:ind w:left="510" w:hanging="510"/>
      </w:pPr>
      <w:r>
        <w:rPr>
          <w:rFonts w:ascii="Times New Roman" w:hAnsi="Times New Roman" w:eastAsia="宋体"/>
          <w:b/>
          <w:i w:val="0"/>
          <w:color w:val="10305A"/>
          <w:sz w:val="19"/>
        </w:rPr>
        <w:t xml:space="preserve">[17] </w:t>
      </w:r>
      <w:r>
        <w:rPr>
          <w:rFonts w:ascii="Times New Roman" w:hAnsi="Times New Roman" w:eastAsia="宋体"/>
          <w:b w:val="0"/>
          <w:i w:val="0"/>
          <w:color w:val="1F2937"/>
          <w:sz w:val="19"/>
        </w:rPr>
        <w:t>Cash HL, Whitham CV, Behrendt CL, Hooper LV. Symbiotic bacteria direct expression of an intestinal bactericidal lectin. Science. 2006;313(5790):1126-1130.</w:t>
      </w:r>
    </w:p>
    <w:p>
      <w:pPr>
        <w:spacing w:after="60" w:line="300" w:lineRule="auto"/>
        <w:ind w:left="510" w:hanging="510"/>
      </w:pPr>
      <w:r>
        <w:rPr>
          <w:rFonts w:ascii="Times New Roman" w:hAnsi="Times New Roman" w:eastAsia="宋体"/>
          <w:b/>
          <w:i w:val="0"/>
          <w:color w:val="10305A"/>
          <w:sz w:val="19"/>
        </w:rPr>
        <w:t xml:space="preserve">[18] </w:t>
      </w:r>
      <w:r>
        <w:rPr>
          <w:rFonts w:ascii="Times New Roman" w:hAnsi="Times New Roman" w:eastAsia="宋体"/>
          <w:b w:val="0"/>
          <w:i w:val="0"/>
          <w:color w:val="1F2937"/>
          <w:sz w:val="19"/>
        </w:rPr>
        <w:t>Chu H, Pazgier M, Jung G, et al. Human α-defensin 6 promotes mucosal innate immunity through self-assembled peptide nanonets. Science. 2012;337(6093):477-481.</w:t>
      </w:r>
    </w:p>
    <w:p>
      <w:pPr>
        <w:spacing w:after="60" w:line="300" w:lineRule="auto"/>
        <w:ind w:left="510" w:hanging="510"/>
      </w:pPr>
      <w:r>
        <w:rPr>
          <w:rFonts w:ascii="Times New Roman" w:hAnsi="Times New Roman" w:eastAsia="宋体"/>
          <w:b/>
          <w:i w:val="0"/>
          <w:color w:val="10305A"/>
          <w:sz w:val="19"/>
        </w:rPr>
        <w:t xml:space="preserve">[19] </w:t>
      </w:r>
      <w:r>
        <w:rPr>
          <w:rFonts w:ascii="Times New Roman" w:hAnsi="Times New Roman" w:eastAsia="宋体"/>
          <w:b w:val="0"/>
          <w:i w:val="0"/>
          <w:color w:val="1F2937"/>
          <w:sz w:val="19"/>
        </w:rPr>
        <w:t>Antimicrobial peptides and the gut mucosal chemical barrier: TLR / NOD2 / IL-22-STAT3 三轴调控（综述）. Front Immunol. 2026.</w:t>
      </w:r>
    </w:p>
    <w:p>
      <w:pPr>
        <w:spacing w:after="60" w:line="300" w:lineRule="auto"/>
        <w:ind w:left="510" w:hanging="510"/>
      </w:pPr>
      <w:r>
        <w:rPr>
          <w:rFonts w:ascii="Times New Roman" w:hAnsi="Times New Roman" w:eastAsia="宋体"/>
          <w:b/>
          <w:i w:val="0"/>
          <w:color w:val="10305A"/>
          <w:sz w:val="19"/>
        </w:rPr>
        <w:t xml:space="preserve">[20] </w:t>
      </w:r>
      <w:r>
        <w:rPr>
          <w:rFonts w:ascii="Times New Roman" w:hAnsi="Times New Roman" w:eastAsia="宋体"/>
          <w:b w:val="0"/>
          <w:i w:val="0"/>
          <w:color w:val="1F2937"/>
          <w:sz w:val="19"/>
        </w:rPr>
        <w:t>Immunomodulatory effects of cathelicidin in the gut-brain axis: a novel link between mucosal immunity and neuroinflammation. PMC13140344, 2026.</w:t>
      </w:r>
    </w:p>
    <w:p>
      <w:pPr>
        <w:spacing w:after="60" w:line="300" w:lineRule="auto"/>
        <w:ind w:left="510" w:hanging="510"/>
      </w:pPr>
      <w:r>
        <w:rPr>
          <w:rFonts w:ascii="Times New Roman" w:hAnsi="Times New Roman" w:eastAsia="宋体"/>
          <w:b/>
          <w:i w:val="0"/>
          <w:color w:val="10305A"/>
          <w:sz w:val="19"/>
        </w:rPr>
        <w:t xml:space="preserve">[21] </w:t>
      </w:r>
      <w:r>
        <w:rPr>
          <w:rFonts w:ascii="Times New Roman" w:hAnsi="Times New Roman" w:eastAsia="宋体"/>
          <w:b w:val="0"/>
          <w:i w:val="0"/>
          <w:color w:val="1F2937"/>
          <w:sz w:val="19"/>
        </w:rPr>
        <w:t>Bairamian D, Sha S, Rolhion N, et al. Microbiota in neuroinflammation and synaptic dysfunction: a focus on Alzheimer’s disease. Molecular Neurodegeneration. 2022;17:19.</w:t>
      </w:r>
    </w:p>
    <w:p>
      <w:pPr>
        <w:spacing w:after="60" w:line="300" w:lineRule="auto"/>
        <w:ind w:left="510" w:hanging="510"/>
      </w:pPr>
      <w:r>
        <w:rPr>
          <w:rFonts w:ascii="Times New Roman" w:hAnsi="Times New Roman" w:eastAsia="宋体"/>
          <w:b/>
          <w:i w:val="0"/>
          <w:color w:val="10305A"/>
          <w:sz w:val="19"/>
        </w:rPr>
        <w:t xml:space="preserve">[22] </w:t>
      </w:r>
      <w:r>
        <w:rPr>
          <w:rFonts w:ascii="Times New Roman" w:hAnsi="Times New Roman" w:eastAsia="宋体"/>
          <w:b w:val="0"/>
          <w:i w:val="0"/>
          <w:color w:val="1F2937"/>
          <w:sz w:val="19"/>
        </w:rPr>
        <w:t>Banks WA. Peptides and the blood-brain barrier. Peptides. 2015;72:16-19.</w:t>
      </w:r>
    </w:p>
    <w:p>
      <w:pPr>
        <w:spacing w:after="60" w:line="300" w:lineRule="auto"/>
        <w:ind w:left="510" w:hanging="510"/>
      </w:pPr>
      <w:r>
        <w:rPr>
          <w:rFonts w:ascii="Times New Roman" w:hAnsi="Times New Roman" w:eastAsia="宋体"/>
          <w:b/>
          <w:i w:val="0"/>
          <w:color w:val="10305A"/>
          <w:sz w:val="19"/>
        </w:rPr>
        <w:t xml:space="preserve">[23] </w:t>
      </w:r>
      <w:r>
        <w:rPr>
          <w:rFonts w:ascii="Times New Roman" w:hAnsi="Times New Roman" w:eastAsia="宋体"/>
          <w:b w:val="0"/>
          <w:i w:val="0"/>
          <w:color w:val="1F2937"/>
          <w:sz w:val="19"/>
        </w:rPr>
        <w:t>Sweeney MD, Zhao Z, Montagne A, et al. Blood-brain barrier: from physiology to disease and back. Physiol Rev. 2019;99(1):21-78.</w:t>
      </w:r>
    </w:p>
    <w:p>
      <w:pPr>
        <w:spacing w:after="60" w:line="300" w:lineRule="auto"/>
        <w:ind w:left="510" w:hanging="510"/>
      </w:pPr>
      <w:r>
        <w:rPr>
          <w:rFonts w:ascii="Times New Roman" w:hAnsi="Times New Roman" w:eastAsia="宋体"/>
          <w:b/>
          <w:i w:val="0"/>
          <w:color w:val="10305A"/>
          <w:sz w:val="19"/>
        </w:rPr>
        <w:t xml:space="preserve">[24] </w:t>
      </w:r>
      <w:r>
        <w:rPr>
          <w:rFonts w:ascii="Times New Roman" w:hAnsi="Times New Roman" w:eastAsia="宋体"/>
          <w:b w:val="0"/>
          <w:i w:val="0"/>
          <w:color w:val="1F2937"/>
          <w:sz w:val="19"/>
        </w:rPr>
        <w:t>Montagne A, Barnes SR, Sweeney MD, et al. Blood-brain barrier breakdown in the aging human hippocampus. Neuron. 2015;85(2):296-302.</w:t>
      </w:r>
    </w:p>
    <w:p>
      <w:pPr>
        <w:spacing w:after="60" w:line="300" w:lineRule="auto"/>
        <w:ind w:left="510" w:hanging="510"/>
      </w:pPr>
      <w:r>
        <w:rPr>
          <w:rFonts w:ascii="Times New Roman" w:hAnsi="Times New Roman" w:eastAsia="宋体"/>
          <w:b/>
          <w:i w:val="0"/>
          <w:color w:val="10305A"/>
          <w:sz w:val="19"/>
        </w:rPr>
        <w:t xml:space="preserve">[25] </w:t>
      </w:r>
      <w:r>
        <w:rPr>
          <w:rFonts w:ascii="Times New Roman" w:hAnsi="Times New Roman" w:eastAsia="宋体"/>
          <w:b w:val="0"/>
          <w:i w:val="0"/>
          <w:color w:val="1F2937"/>
          <w:sz w:val="19"/>
        </w:rPr>
        <w:t>β-Amyloid (Aβ) and human cathelicidin LL-37: two sides of the same coin? 综述, PMC13300153, 2026.</w:t>
      </w:r>
    </w:p>
    <w:p>
      <w:pPr>
        <w:spacing w:after="60" w:line="300" w:lineRule="auto"/>
        <w:ind w:left="510" w:hanging="510"/>
      </w:pPr>
      <w:r>
        <w:rPr>
          <w:rFonts w:ascii="Times New Roman" w:hAnsi="Times New Roman" w:eastAsia="宋体"/>
          <w:b/>
          <w:i w:val="0"/>
          <w:color w:val="10305A"/>
          <w:sz w:val="19"/>
        </w:rPr>
        <w:t xml:space="preserve">[26] </w:t>
      </w:r>
      <w:r>
        <w:rPr>
          <w:rFonts w:ascii="Times New Roman" w:hAnsi="Times New Roman" w:eastAsia="宋体"/>
          <w:b w:val="0"/>
          <w:i w:val="0"/>
          <w:color w:val="1F2937"/>
          <w:sz w:val="19"/>
        </w:rPr>
        <w:t>Zhang Y, et al. Exploring pathological link between antimicrobial and amyloid peptides. Chem Soc Rev. 2024. DOI: 10.1039/D3CS00878A</w:t>
      </w:r>
    </w:p>
    <w:p>
      <w:pPr>
        <w:spacing w:after="60" w:line="300" w:lineRule="auto"/>
        <w:ind w:left="510" w:hanging="510"/>
      </w:pPr>
      <w:r>
        <w:rPr>
          <w:rFonts w:ascii="Times New Roman" w:hAnsi="Times New Roman" w:eastAsia="宋体"/>
          <w:b/>
          <w:i w:val="0"/>
          <w:color w:val="10305A"/>
          <w:sz w:val="19"/>
        </w:rPr>
        <w:t xml:space="preserve">[27] </w:t>
      </w:r>
      <w:r>
        <w:rPr>
          <w:rFonts w:ascii="Times New Roman" w:hAnsi="Times New Roman" w:eastAsia="宋体"/>
          <w:b w:val="0"/>
          <w:i w:val="0"/>
          <w:color w:val="1F2937"/>
          <w:sz w:val="19"/>
        </w:rPr>
        <w:t>Chen S, Zhou Y, Chen Y, Gu J. fastp: an ultra-fast all-in-one FASTQ preprocessor. Bioinformatics. 2018;34(17):i884-i890.</w:t>
      </w:r>
    </w:p>
    <w:p>
      <w:pPr>
        <w:spacing w:after="60" w:line="300" w:lineRule="auto"/>
        <w:ind w:left="510" w:hanging="510"/>
      </w:pPr>
      <w:r>
        <w:rPr>
          <w:rFonts w:ascii="Times New Roman" w:hAnsi="Times New Roman" w:eastAsia="宋体"/>
          <w:b/>
          <w:i w:val="0"/>
          <w:color w:val="10305A"/>
          <w:sz w:val="19"/>
        </w:rPr>
        <w:t xml:space="preserve">[28] </w:t>
      </w:r>
      <w:r>
        <w:rPr>
          <w:rFonts w:ascii="Times New Roman" w:hAnsi="Times New Roman" w:eastAsia="宋体"/>
          <w:b w:val="0"/>
          <w:i w:val="0"/>
          <w:color w:val="1F2937"/>
          <w:sz w:val="19"/>
        </w:rPr>
        <w:t>Langmead B, Salzberg SL. Fast gapped-read alignment with Bowtie 2. Nat Methods. 2012;9(4):357-359.</w:t>
      </w:r>
    </w:p>
    <w:p>
      <w:pPr>
        <w:spacing w:after="60" w:line="300" w:lineRule="auto"/>
        <w:ind w:left="510" w:hanging="510"/>
      </w:pPr>
      <w:r>
        <w:rPr>
          <w:rFonts w:ascii="Times New Roman" w:hAnsi="Times New Roman" w:eastAsia="宋体"/>
          <w:b/>
          <w:i w:val="0"/>
          <w:color w:val="10305A"/>
          <w:sz w:val="19"/>
        </w:rPr>
        <w:t xml:space="preserve">[29] </w:t>
      </w:r>
      <w:r>
        <w:rPr>
          <w:rFonts w:ascii="Times New Roman" w:hAnsi="Times New Roman" w:eastAsia="宋体"/>
          <w:b w:val="0"/>
          <w:i w:val="0"/>
          <w:color w:val="1F2937"/>
          <w:sz w:val="19"/>
        </w:rPr>
        <w:t>Li D, Liu CM, Luo R, et al. MEGAHIT: an ultra-fast single-node solution for large and complex metagenomics assembly via succinct de Bruijn graph. Bioinformatics. 2015;31(10):1674-1676.</w:t>
      </w:r>
    </w:p>
    <w:p>
      <w:pPr>
        <w:spacing w:after="60" w:line="300" w:lineRule="auto"/>
        <w:ind w:left="510" w:hanging="510"/>
      </w:pPr>
      <w:r>
        <w:rPr>
          <w:rFonts w:ascii="Times New Roman" w:hAnsi="Times New Roman" w:eastAsia="宋体"/>
          <w:b/>
          <w:i w:val="0"/>
          <w:color w:val="10305A"/>
          <w:sz w:val="19"/>
        </w:rPr>
        <w:t xml:space="preserve">[30] </w:t>
      </w:r>
      <w:r>
        <w:rPr>
          <w:rFonts w:ascii="Times New Roman" w:hAnsi="Times New Roman" w:eastAsia="宋体"/>
          <w:b w:val="0"/>
          <w:i w:val="0"/>
          <w:color w:val="1F2937"/>
          <w:sz w:val="19"/>
        </w:rPr>
        <w:t>Nurk S, Meleshko D, Korobeynikov A, Pevzner PA. metaSPAdes: a new versatile metagenomic assembler. Genome Res. 2017;27(5):824-834.</w:t>
      </w:r>
    </w:p>
    <w:p>
      <w:pPr>
        <w:spacing w:after="60" w:line="300" w:lineRule="auto"/>
        <w:ind w:left="510" w:hanging="510"/>
      </w:pPr>
      <w:r>
        <w:rPr>
          <w:rFonts w:ascii="Times New Roman" w:hAnsi="Times New Roman" w:eastAsia="宋体"/>
          <w:b/>
          <w:i w:val="0"/>
          <w:color w:val="10305A"/>
          <w:sz w:val="19"/>
        </w:rPr>
        <w:t xml:space="preserve">[31] </w:t>
      </w:r>
      <w:r>
        <w:rPr>
          <w:rFonts w:ascii="Times New Roman" w:hAnsi="Times New Roman" w:eastAsia="宋体"/>
          <w:b w:val="0"/>
          <w:i w:val="0"/>
          <w:color w:val="1F2937"/>
          <w:sz w:val="19"/>
        </w:rPr>
        <w:t>Quince C, Walker AW, Simpson JT, et al. Shotgun metagenomics, from sampling to analysis. Nat Biotechnol. 2017;35(9):833-844.</w:t>
      </w:r>
    </w:p>
    <w:p>
      <w:pPr>
        <w:spacing w:after="60" w:line="300" w:lineRule="auto"/>
        <w:ind w:left="510" w:hanging="510"/>
      </w:pPr>
      <w:r>
        <w:rPr>
          <w:rFonts w:ascii="Times New Roman" w:hAnsi="Times New Roman" w:eastAsia="宋体"/>
          <w:b/>
          <w:i w:val="0"/>
          <w:color w:val="10305A"/>
          <w:sz w:val="19"/>
        </w:rPr>
        <w:t xml:space="preserve">[32] </w:t>
      </w:r>
      <w:r>
        <w:rPr>
          <w:rFonts w:ascii="Times New Roman" w:hAnsi="Times New Roman" w:eastAsia="宋体"/>
          <w:b w:val="0"/>
          <w:i w:val="0"/>
          <w:color w:val="1F2937"/>
          <w:sz w:val="19"/>
        </w:rPr>
        <w:t>Kang DD, Li F, Kirton E, et al. MetaBAT 2: an adaptive binning algorithm for robust and efficient genome reconstruction from metagenome assemblies. PeerJ. 2019;7:e7359.</w:t>
      </w:r>
    </w:p>
    <w:p>
      <w:pPr>
        <w:spacing w:after="60" w:line="300" w:lineRule="auto"/>
        <w:ind w:left="510" w:hanging="510"/>
      </w:pPr>
      <w:r>
        <w:rPr>
          <w:rFonts w:ascii="Times New Roman" w:hAnsi="Times New Roman" w:eastAsia="宋体"/>
          <w:b/>
          <w:i w:val="0"/>
          <w:color w:val="10305A"/>
          <w:sz w:val="19"/>
        </w:rPr>
        <w:t xml:space="preserve">[33] </w:t>
      </w:r>
      <w:r>
        <w:rPr>
          <w:rFonts w:ascii="Times New Roman" w:hAnsi="Times New Roman" w:eastAsia="宋体"/>
          <w:b w:val="0"/>
          <w:i w:val="0"/>
          <w:color w:val="1F2937"/>
          <w:sz w:val="19"/>
        </w:rPr>
        <w:t>Parks DH, Imelfort M, Skennerton CT, et al. CheckM: assessing the quality of microbial genomes recovered from isolates, single cells, and metagenomes. Genome Res. 2015;25(7):1043-1055.</w:t>
      </w:r>
    </w:p>
    <w:p>
      <w:pPr>
        <w:spacing w:after="60" w:line="300" w:lineRule="auto"/>
        <w:ind w:left="510" w:hanging="510"/>
      </w:pPr>
      <w:r>
        <w:rPr>
          <w:rFonts w:ascii="Times New Roman" w:hAnsi="Times New Roman" w:eastAsia="宋体"/>
          <w:b/>
          <w:i w:val="0"/>
          <w:color w:val="10305A"/>
          <w:sz w:val="19"/>
        </w:rPr>
        <w:t xml:space="preserve">[34] </w:t>
      </w:r>
      <w:r>
        <w:rPr>
          <w:rFonts w:ascii="Times New Roman" w:hAnsi="Times New Roman" w:eastAsia="宋体"/>
          <w:b w:val="0"/>
          <w:i w:val="0"/>
          <w:color w:val="1F2937"/>
          <w:sz w:val="19"/>
        </w:rPr>
        <w:t>Hyatt D, Chen GL, LoCascio PF, et al. Prodigal: prokaryotic gene recognition and translation initiation site identification. BMC Bioinformatics. 2010;11:119.</w:t>
      </w:r>
    </w:p>
    <w:p>
      <w:pPr>
        <w:spacing w:after="60" w:line="300" w:lineRule="auto"/>
        <w:ind w:left="510" w:hanging="510"/>
      </w:pPr>
      <w:r>
        <w:rPr>
          <w:rFonts w:ascii="Times New Roman" w:hAnsi="Times New Roman" w:eastAsia="宋体"/>
          <w:b/>
          <w:i w:val="0"/>
          <w:color w:val="10305A"/>
          <w:sz w:val="19"/>
        </w:rPr>
        <w:t xml:space="preserve">[35] </w:t>
      </w:r>
      <w:r>
        <w:rPr>
          <w:rFonts w:ascii="Times New Roman" w:hAnsi="Times New Roman" w:eastAsia="宋体"/>
          <w:b w:val="0"/>
          <w:i w:val="0"/>
          <w:color w:val="1F2937"/>
          <w:sz w:val="19"/>
        </w:rPr>
        <w:t>Li W, Godzik A. Cd-hit: a fast program for clustering and comparing large sets of protein or nucleotide sequences. Bioinformatics. 2006;22(13):1658-1659.</w:t>
      </w:r>
    </w:p>
    <w:p>
      <w:pPr>
        <w:spacing w:after="60" w:line="300" w:lineRule="auto"/>
        <w:ind w:left="510" w:hanging="510"/>
      </w:pPr>
      <w:r>
        <w:rPr>
          <w:rFonts w:ascii="Times New Roman" w:hAnsi="Times New Roman" w:eastAsia="宋体"/>
          <w:b/>
          <w:i w:val="0"/>
          <w:color w:val="10305A"/>
          <w:sz w:val="19"/>
        </w:rPr>
        <w:t xml:space="preserve">[36] </w:t>
      </w:r>
      <w:r>
        <w:rPr>
          <w:rFonts w:ascii="Times New Roman" w:hAnsi="Times New Roman" w:eastAsia="宋体"/>
          <w:b w:val="0"/>
          <w:i w:val="0"/>
          <w:color w:val="1F2937"/>
          <w:sz w:val="19"/>
        </w:rPr>
        <w:t>Nissen JN, Johansen J, Allesøe RL, et al. Improved metagenome binning and assembly using deep learning. Nat Biotechnol. 2021;39(5):555-560.</w:t>
      </w:r>
    </w:p>
    <w:p>
      <w:pPr>
        <w:spacing w:after="60" w:line="300" w:lineRule="auto"/>
        <w:ind w:left="510" w:hanging="510"/>
      </w:pPr>
      <w:r>
        <w:rPr>
          <w:rFonts w:ascii="Times New Roman" w:hAnsi="Times New Roman" w:eastAsia="宋体"/>
          <w:b/>
          <w:i w:val="0"/>
          <w:color w:val="10305A"/>
          <w:sz w:val="19"/>
        </w:rPr>
        <w:t xml:space="preserve">[37] </w:t>
      </w:r>
      <w:r>
        <w:rPr>
          <w:rFonts w:ascii="Times New Roman" w:hAnsi="Times New Roman" w:eastAsia="宋体"/>
          <w:b w:val="0"/>
          <w:i w:val="0"/>
          <w:color w:val="1F2937"/>
          <w:sz w:val="19"/>
        </w:rPr>
        <w:t>Santos-Júnior CD, Pan S, Zhao XM, Coelho LP. Macrel: antimicrobial peptide screening in genomes and metagenomes. PeerJ. 2020;8:e10555.</w:t>
      </w:r>
    </w:p>
    <w:p>
      <w:pPr>
        <w:spacing w:after="60" w:line="300" w:lineRule="auto"/>
        <w:ind w:left="510" w:hanging="510"/>
      </w:pPr>
      <w:r>
        <w:rPr>
          <w:rFonts w:ascii="Times New Roman" w:hAnsi="Times New Roman" w:eastAsia="宋体"/>
          <w:b/>
          <w:i w:val="0"/>
          <w:color w:val="10305A"/>
          <w:sz w:val="19"/>
        </w:rPr>
        <w:t xml:space="preserve">[38] </w:t>
      </w:r>
      <w:r>
        <w:rPr>
          <w:rFonts w:ascii="Times New Roman" w:hAnsi="Times New Roman" w:eastAsia="宋体"/>
          <w:b w:val="0"/>
          <w:i w:val="0"/>
          <w:color w:val="1F2937"/>
          <w:sz w:val="19"/>
        </w:rPr>
        <w:t>Li C, Sutherland D, Hammond SA, et al. AMPlify: attentive deep learning model for discovery of novel antimicrobial peptides effective against WHO priority pathogens. BMC Genomics. 2022;23:77.</w:t>
      </w:r>
    </w:p>
    <w:p>
      <w:pPr>
        <w:spacing w:after="60" w:line="300" w:lineRule="auto"/>
        <w:ind w:left="510" w:hanging="510"/>
      </w:pPr>
      <w:r>
        <w:rPr>
          <w:rFonts w:ascii="Times New Roman" w:hAnsi="Times New Roman" w:eastAsia="宋体"/>
          <w:b/>
          <w:i w:val="0"/>
          <w:color w:val="10305A"/>
          <w:sz w:val="19"/>
        </w:rPr>
        <w:t xml:space="preserve">[39] </w:t>
      </w:r>
      <w:r>
        <w:rPr>
          <w:rFonts w:ascii="Times New Roman" w:hAnsi="Times New Roman" w:eastAsia="宋体"/>
          <w:b w:val="0"/>
          <w:i w:val="0"/>
          <w:color w:val="1F2937"/>
          <w:sz w:val="19"/>
        </w:rPr>
        <w:t>Santos-Júnior CD, Torres MDT, Duan Y, et al. Discovery of antimicrobial peptides in the global microbiome with machine learning. Cell. 2024;187(14):3761-3778.</w:t>
      </w:r>
    </w:p>
    <w:p>
      <w:pPr>
        <w:spacing w:after="60" w:line="300" w:lineRule="auto"/>
        <w:ind w:left="510" w:hanging="510"/>
      </w:pPr>
      <w:r>
        <w:rPr>
          <w:rFonts w:ascii="Times New Roman" w:hAnsi="Times New Roman" w:eastAsia="宋体"/>
          <w:b/>
          <w:i w:val="0"/>
          <w:color w:val="10305A"/>
          <w:sz w:val="19"/>
        </w:rPr>
        <w:t xml:space="preserve">[40] </w:t>
      </w:r>
      <w:r>
        <w:rPr>
          <w:rFonts w:ascii="Times New Roman" w:hAnsi="Times New Roman" w:eastAsia="宋体"/>
          <w:b w:val="0"/>
          <w:i w:val="0"/>
          <w:color w:val="1F2937"/>
          <w:sz w:val="19"/>
        </w:rPr>
        <w:t>Detection of antimicrobial peptides from fecal samples of FMT donors using deep learning. 2025. PMC12560166. Workflow includes metagenomic assembly, LSTM/Attention/BERT prediction, metaproteomic cross-validation and molecular dynamics.</w:t>
      </w:r>
    </w:p>
    <w:p>
      <w:pPr>
        <w:spacing w:after="60" w:line="300" w:lineRule="auto"/>
        <w:ind w:left="510" w:hanging="510"/>
      </w:pPr>
      <w:r>
        <w:rPr>
          <w:rFonts w:ascii="Times New Roman" w:hAnsi="Times New Roman" w:eastAsia="宋体"/>
          <w:b/>
          <w:i w:val="0"/>
          <w:color w:val="10305A"/>
          <w:sz w:val="19"/>
        </w:rPr>
        <w:t xml:space="preserve">[41] </w:t>
      </w:r>
      <w:r>
        <w:rPr>
          <w:rFonts w:ascii="Times New Roman" w:hAnsi="Times New Roman" w:eastAsia="宋体"/>
          <w:b w:val="0"/>
          <w:i w:val="0"/>
          <w:color w:val="1F2937"/>
          <w:sz w:val="19"/>
        </w:rPr>
        <w:t>Gloor GB, Macklaim JM, Pawlowsky-Glahn V, Egozcue JJ. Microbiome datasets are compositional: and this is not optional. Front Microbiol. 2017;8:2224.</w:t>
      </w:r>
    </w:p>
    <w:p>
      <w:pPr>
        <w:spacing w:after="60" w:line="300" w:lineRule="auto"/>
        <w:ind w:left="510" w:hanging="510"/>
      </w:pPr>
      <w:r>
        <w:rPr>
          <w:rFonts w:ascii="Times New Roman" w:hAnsi="Times New Roman" w:eastAsia="宋体"/>
          <w:b/>
          <w:i w:val="0"/>
          <w:color w:val="10305A"/>
          <w:sz w:val="19"/>
        </w:rPr>
        <w:t xml:space="preserve">[42] </w:t>
      </w:r>
      <w:r>
        <w:rPr>
          <w:rFonts w:ascii="Times New Roman" w:hAnsi="Times New Roman" w:eastAsia="宋体"/>
          <w:b w:val="0"/>
          <w:i w:val="0"/>
          <w:color w:val="1F2937"/>
          <w:sz w:val="19"/>
        </w:rPr>
        <w:t>Lin H, Peddada SD. Analysis of compositions of microbiomes with bias correction. Nat Commun. 2020;11:3514.</w:t>
      </w:r>
    </w:p>
    <w:p>
      <w:pPr>
        <w:spacing w:after="60" w:line="300" w:lineRule="auto"/>
        <w:ind w:left="510" w:hanging="510"/>
      </w:pPr>
      <w:r>
        <w:rPr>
          <w:rFonts w:ascii="Times New Roman" w:hAnsi="Times New Roman" w:eastAsia="宋体"/>
          <w:b/>
          <w:i w:val="0"/>
          <w:color w:val="10305A"/>
          <w:sz w:val="19"/>
        </w:rPr>
        <w:t xml:space="preserve">[43] </w:t>
      </w:r>
      <w:r>
        <w:rPr>
          <w:rFonts w:ascii="Times New Roman" w:hAnsi="Times New Roman" w:eastAsia="宋体"/>
          <w:b w:val="0"/>
          <w:i w:val="0"/>
          <w:color w:val="1F2937"/>
          <w:sz w:val="19"/>
        </w:rPr>
        <w:t>Lin H, Peddada SD. Multigroup analysis of compositions of microbiomes with covariate adjustments and repeated measures. Nat Methods. 2024;21:83-91.</w:t>
      </w:r>
    </w:p>
    <w:p>
      <w:pPr>
        <w:spacing w:after="60" w:line="300" w:lineRule="auto"/>
        <w:ind w:left="510" w:hanging="510"/>
      </w:pPr>
      <w:r>
        <w:rPr>
          <w:rFonts w:ascii="Times New Roman" w:hAnsi="Times New Roman" w:eastAsia="宋体"/>
          <w:b/>
          <w:i w:val="0"/>
          <w:color w:val="10305A"/>
          <w:sz w:val="19"/>
        </w:rPr>
        <w:t xml:space="preserve">[44] </w:t>
      </w:r>
      <w:r>
        <w:rPr>
          <w:rFonts w:ascii="Times New Roman" w:hAnsi="Times New Roman" w:eastAsia="宋体"/>
          <w:b w:val="0"/>
          <w:i w:val="0"/>
          <w:color w:val="1F2937"/>
          <w:sz w:val="19"/>
        </w:rPr>
        <w:t>Love MI, Huber W, Anders S. Moderated estimation of fold change and dispersion for RNA-seq data with DESeq2. Genome Biol. 2014;15(12):550.</w:t>
      </w:r>
    </w:p>
    <w:p>
      <w:pPr>
        <w:spacing w:after="60" w:line="300" w:lineRule="auto"/>
        <w:ind w:left="510" w:hanging="510"/>
      </w:pPr>
      <w:r>
        <w:rPr>
          <w:rFonts w:ascii="Times New Roman" w:hAnsi="Times New Roman" w:eastAsia="宋体"/>
          <w:b/>
          <w:i w:val="0"/>
          <w:color w:val="10305A"/>
          <w:sz w:val="19"/>
        </w:rPr>
        <w:t xml:space="preserve">[45] </w:t>
      </w:r>
      <w:r>
        <w:rPr>
          <w:rFonts w:ascii="Times New Roman" w:hAnsi="Times New Roman" w:eastAsia="宋体"/>
          <w:b w:val="0"/>
          <w:i w:val="0"/>
          <w:color w:val="1F2937"/>
          <w:sz w:val="19"/>
        </w:rPr>
        <w:t>Nearing JT, Douglas GM, Hayes MG, et al. Microbiome differential abundance methods produce different results across 38 datasets. Nat Commun. 2022;13:342.</w:t>
      </w:r>
    </w:p>
    <w:p>
      <w:pPr>
        <w:spacing w:after="60" w:line="300" w:lineRule="auto"/>
        <w:ind w:left="510" w:hanging="510"/>
      </w:pPr>
      <w:r>
        <w:rPr>
          <w:rFonts w:ascii="Times New Roman" w:hAnsi="Times New Roman" w:eastAsia="宋体"/>
          <w:b/>
          <w:i w:val="0"/>
          <w:color w:val="10305A"/>
          <w:sz w:val="19"/>
        </w:rPr>
        <w:t xml:space="preserve">[46] </w:t>
      </w:r>
      <w:r>
        <w:rPr>
          <w:rFonts w:ascii="Times New Roman" w:hAnsi="Times New Roman" w:eastAsia="宋体"/>
          <w:b w:val="0"/>
          <w:i w:val="0"/>
          <w:color w:val="1F2937"/>
          <w:sz w:val="19"/>
        </w:rPr>
        <w:t>Friedman J, Alm EJ. Inferring correlation networks from genomic survey data. PLoS Comput Biol. 2012;8(9):e1002687.</w:t>
      </w:r>
    </w:p>
    <w:p>
      <w:pPr>
        <w:spacing w:after="60" w:line="300" w:lineRule="auto"/>
        <w:ind w:left="510" w:hanging="510"/>
      </w:pPr>
      <w:r>
        <w:rPr>
          <w:rFonts w:ascii="Times New Roman" w:hAnsi="Times New Roman" w:eastAsia="宋体"/>
          <w:b/>
          <w:i w:val="0"/>
          <w:color w:val="10305A"/>
          <w:sz w:val="19"/>
        </w:rPr>
        <w:t xml:space="preserve">[47] </w:t>
      </w:r>
      <w:r>
        <w:rPr>
          <w:rFonts w:ascii="Times New Roman" w:hAnsi="Times New Roman" w:eastAsia="宋体"/>
          <w:b w:val="0"/>
          <w:i w:val="0"/>
          <w:color w:val="1F2937"/>
          <w:sz w:val="19"/>
        </w:rPr>
        <w:t>Kurtz ZD, Müller CL, Miraldi ER, et al. Sparse and compositionally robust inference of microbial ecological networks. PLoS Comput Biol. 2015;11(5):e1004226.</w:t>
      </w:r>
    </w:p>
    <w:p>
      <w:pPr>
        <w:spacing w:after="60" w:line="300" w:lineRule="auto"/>
        <w:ind w:left="510" w:hanging="510"/>
      </w:pPr>
      <w:r>
        <w:rPr>
          <w:rFonts w:ascii="Times New Roman" w:hAnsi="Times New Roman" w:eastAsia="宋体"/>
          <w:b/>
          <w:i w:val="0"/>
          <w:color w:val="10305A"/>
          <w:sz w:val="19"/>
        </w:rPr>
        <w:t xml:space="preserve">[48] </w:t>
      </w:r>
      <w:r>
        <w:rPr>
          <w:rFonts w:ascii="Times New Roman" w:hAnsi="Times New Roman" w:eastAsia="宋体"/>
          <w:b w:val="0"/>
          <w:i w:val="0"/>
          <w:color w:val="1F2937"/>
          <w:sz w:val="19"/>
        </w:rPr>
        <w:t>Faust K, Raes J. Microbial interactions: from networks to models. Nat Rev Microbiol. 2012;10(8):538-550.</w:t>
      </w:r>
    </w:p>
    <w:p>
      <w:pPr>
        <w:spacing w:after="60" w:line="300" w:lineRule="auto"/>
        <w:ind w:left="510" w:hanging="510"/>
      </w:pPr>
      <w:r>
        <w:rPr>
          <w:rFonts w:ascii="Times New Roman" w:hAnsi="Times New Roman" w:eastAsia="宋体"/>
          <w:b/>
          <w:i w:val="0"/>
          <w:color w:val="10305A"/>
          <w:sz w:val="19"/>
        </w:rPr>
        <w:t xml:space="preserve">[49] </w:t>
      </w:r>
      <w:r>
        <w:rPr>
          <w:rFonts w:ascii="Times New Roman" w:hAnsi="Times New Roman" w:eastAsia="宋体"/>
          <w:b w:val="0"/>
          <w:i w:val="0"/>
          <w:color w:val="1F2937"/>
          <w:sz w:val="19"/>
        </w:rPr>
        <w:t>VanderWeele TJ. Mediation analysis: a practitioner's guide. Annu Rev Public Health. 2016;37:17-32.</w:t>
      </w:r>
    </w:p>
    <w:p>
      <w:pPr>
        <w:spacing w:after="60" w:line="300" w:lineRule="auto"/>
        <w:ind w:left="510" w:hanging="510"/>
      </w:pPr>
      <w:r>
        <w:rPr>
          <w:rFonts w:ascii="Times New Roman" w:hAnsi="Times New Roman" w:eastAsia="宋体"/>
          <w:b/>
          <w:i w:val="0"/>
          <w:color w:val="10305A"/>
          <w:sz w:val="19"/>
        </w:rPr>
        <w:t xml:space="preserve">[50] </w:t>
      </w:r>
      <w:r>
        <w:rPr>
          <w:rFonts w:ascii="Times New Roman" w:hAnsi="Times New Roman" w:eastAsia="宋体"/>
          <w:b w:val="0"/>
          <w:i w:val="0"/>
          <w:color w:val="1F2937"/>
          <w:sz w:val="19"/>
        </w:rPr>
        <w:t>Cryan JF, O'Riordan KJ, Cowan CSM, et al. The microbiota-gut-brain axis. Physiol Rev. 2019;99(4):1877-2013.</w:t>
      </w:r>
    </w:p>
    <w:p>
      <w:pPr>
        <w:spacing w:after="60" w:line="300" w:lineRule="auto"/>
        <w:ind w:left="510" w:hanging="510"/>
      </w:pPr>
      <w:r>
        <w:rPr>
          <w:rFonts w:ascii="Times New Roman" w:hAnsi="Times New Roman" w:eastAsia="宋体"/>
          <w:b/>
          <w:i w:val="0"/>
          <w:color w:val="10305A"/>
          <w:sz w:val="19"/>
        </w:rPr>
        <w:t xml:space="preserve">[51] </w:t>
      </w:r>
      <w:r>
        <w:rPr>
          <w:rFonts w:ascii="Times New Roman" w:hAnsi="Times New Roman" w:eastAsia="宋体"/>
          <w:b w:val="0"/>
          <w:i w:val="0"/>
          <w:color w:val="1F2937"/>
          <w:sz w:val="19"/>
        </w:rPr>
        <w:t>Kowalski K, Mulak A. Brain-gut-microbiota axis in Alzheimer's disease. J Neurogastroenterol Motil. 2019;25(1):48-60. PMC6326209.</w:t>
      </w:r>
    </w:p>
    <w:p>
      <w:pPr>
        <w:spacing w:after="60" w:line="300" w:lineRule="auto"/>
        <w:ind w:left="510" w:hanging="510"/>
      </w:pPr>
      <w:r>
        <w:rPr>
          <w:rFonts w:ascii="Times New Roman" w:hAnsi="Times New Roman" w:eastAsia="宋体"/>
          <w:b/>
          <w:i w:val="0"/>
          <w:color w:val="10305A"/>
          <w:sz w:val="19"/>
        </w:rPr>
        <w:t xml:space="preserve">[52] </w:t>
      </w:r>
      <w:r>
        <w:rPr>
          <w:rFonts w:ascii="Times New Roman" w:hAnsi="Times New Roman" w:eastAsia="宋体"/>
          <w:b w:val="0"/>
          <w:i w:val="0"/>
          <w:color w:val="1F2937"/>
          <w:sz w:val="19"/>
        </w:rPr>
        <w:t>Burgess S, Thompson SG. Avoiding bias from weak instruments in Mendelian randomization studies. Int J Epidemiol. 2011;40(3):755-764.</w:t>
      </w:r>
    </w:p>
    <w:p>
      <w:pPr>
        <w:spacing w:after="60" w:line="300" w:lineRule="auto"/>
        <w:ind w:left="510" w:hanging="510"/>
      </w:pPr>
      <w:r>
        <w:rPr>
          <w:rFonts w:ascii="Times New Roman" w:hAnsi="Times New Roman" w:eastAsia="宋体"/>
          <w:b/>
          <w:i w:val="0"/>
          <w:color w:val="10305A"/>
          <w:sz w:val="19"/>
        </w:rPr>
        <w:t xml:space="preserve">[53] </w:t>
      </w:r>
      <w:r>
        <w:rPr>
          <w:rFonts w:ascii="Times New Roman" w:hAnsi="Times New Roman" w:eastAsia="宋体"/>
          <w:b w:val="0"/>
          <w:i w:val="0"/>
          <w:color w:val="1F2937"/>
          <w:sz w:val="19"/>
        </w:rPr>
        <w:t>Verbanck M, Chen CY, Neale B, Do R. Detection of widespread horizontal pleiotropy in causal relationships inferred from Mendelian randomization between complex traits and diseases. Nat Genet. 2018;50(5):693-698.</w:t>
      </w:r>
    </w:p>
    <w:p>
      <w:pPr>
        <w:spacing w:after="60" w:line="300" w:lineRule="auto"/>
        <w:ind w:left="510" w:hanging="510"/>
      </w:pPr>
      <w:r>
        <w:rPr>
          <w:rFonts w:ascii="Times New Roman" w:hAnsi="Times New Roman" w:eastAsia="宋体"/>
          <w:b/>
          <w:i w:val="0"/>
          <w:color w:val="10305A"/>
          <w:sz w:val="19"/>
        </w:rPr>
        <w:t xml:space="preserve">[54] </w:t>
      </w:r>
      <w:r>
        <w:rPr>
          <w:rFonts w:ascii="Times New Roman" w:hAnsi="Times New Roman" w:eastAsia="宋体"/>
          <w:b w:val="0"/>
          <w:i w:val="0"/>
          <w:color w:val="1F2937"/>
          <w:sz w:val="19"/>
        </w:rPr>
        <w:t>Hemani G, Zheng J, Elsworth B, et al. The MR-Base platform supports systematic causal inference across the human phenome. eLife. 2018;7:e34408.</w:t>
      </w:r>
    </w:p>
    <w:p>
      <w:pPr>
        <w:spacing w:after="60" w:line="300" w:lineRule="auto"/>
        <w:ind w:left="510" w:hanging="510"/>
      </w:pPr>
      <w:r>
        <w:rPr>
          <w:rFonts w:ascii="Times New Roman" w:hAnsi="Times New Roman" w:eastAsia="宋体"/>
          <w:b/>
          <w:i w:val="0"/>
          <w:color w:val="10305A"/>
          <w:sz w:val="19"/>
        </w:rPr>
        <w:t xml:space="preserve">[55] </w:t>
      </w:r>
      <w:r>
        <w:rPr>
          <w:rFonts w:ascii="Times New Roman" w:hAnsi="Times New Roman" w:eastAsia="宋体"/>
          <w:b w:val="0"/>
          <w:i w:val="0"/>
          <w:color w:val="1F2937"/>
          <w:sz w:val="19"/>
        </w:rPr>
        <w:t>CHARMM-GUI LPS Modeler / Membrane Builder：革兰阴性外膜（粗糙型 LPS + lipid A + Mg2+）建模方法，见 CHARMM-GUI 系列方法文献.</w:t>
      </w:r>
    </w:p>
    <w:p>
      <w:pPr>
        <w:spacing w:after="60" w:line="300" w:lineRule="auto"/>
        <w:ind w:left="510" w:hanging="510"/>
      </w:pPr>
      <w:r>
        <w:rPr>
          <w:rFonts w:ascii="Times New Roman" w:hAnsi="Times New Roman" w:eastAsia="宋体"/>
          <w:b/>
          <w:i w:val="0"/>
          <w:color w:val="10305A"/>
          <w:sz w:val="19"/>
        </w:rPr>
        <w:t xml:space="preserve">[56] </w:t>
      </w:r>
      <w:r>
        <w:rPr>
          <w:rFonts w:ascii="Times New Roman" w:hAnsi="Times New Roman" w:eastAsia="宋体"/>
          <w:b w:val="0"/>
          <w:i w:val="0"/>
          <w:color w:val="1F2937"/>
          <w:sz w:val="19"/>
        </w:rPr>
        <w:t>A molecular dynamics study of antimicrobial peptide translocation across the outer membrane of Gram-negative bacteria. bioRxiv 2022.01.20.477041（约 8 μs 全原子 MD + 伞形采样；CM15 在 O-抗原区结合自由能约 -130 kJ/mol，核心糖-脂质 A 界面势垒约 150 kJ/mol）</w:t>
      </w:r>
    </w:p>
    <w:p>
      <w:pPr>
        <w:spacing w:after="60" w:line="300" w:lineRule="auto"/>
        <w:ind w:left="510" w:hanging="510"/>
      </w:pPr>
      <w:r>
        <w:rPr>
          <w:rFonts w:ascii="Times New Roman" w:hAnsi="Times New Roman" w:eastAsia="宋体"/>
          <w:b/>
          <w:i w:val="0"/>
          <w:color w:val="10305A"/>
          <w:sz w:val="19"/>
        </w:rPr>
        <w:t xml:space="preserve">[57] </w:t>
      </w:r>
      <w:r>
        <w:rPr>
          <w:rFonts w:ascii="Times New Roman" w:hAnsi="Times New Roman" w:eastAsia="宋体"/>
          <w:b w:val="0"/>
          <w:i w:val="0"/>
          <w:color w:val="1F2937"/>
          <w:sz w:val="19"/>
        </w:rPr>
        <w:t>Free energy of membrane pore formation and stability from molecular dynamics simulations. 2025. PMC11776052（CHARMM36 与 Martini 对比；伞形采样 + Full-Path CV）</w:t>
      </w:r>
    </w:p>
    <w:p>
      <w:pPr>
        <w:spacing w:after="60" w:line="300" w:lineRule="auto"/>
        <w:ind w:left="510" w:hanging="510"/>
      </w:pPr>
      <w:r>
        <w:rPr>
          <w:rFonts w:ascii="Times New Roman" w:hAnsi="Times New Roman" w:eastAsia="宋体"/>
          <w:b/>
          <w:i w:val="0"/>
          <w:color w:val="10305A"/>
          <w:sz w:val="19"/>
        </w:rPr>
        <w:t xml:space="preserve">[58] </w:t>
      </w:r>
      <w:r>
        <w:rPr>
          <w:rFonts w:ascii="Times New Roman" w:hAnsi="Times New Roman" w:eastAsia="宋体"/>
          <w:b w:val="0"/>
          <w:i w:val="0"/>
          <w:color w:val="1F2937"/>
          <w:sz w:val="19"/>
        </w:rPr>
        <w:t>Souza PCT, Alessandri R, Barnoud J, et al. Martini 3: a general purpose force field for coarse-grained molecular dynamics. Nat Methods. 2021;18(4):382-388.</w:t>
      </w:r>
    </w:p>
    <w:p>
      <w:pPr>
        <w:spacing w:after="60" w:line="300" w:lineRule="auto"/>
        <w:ind w:left="510" w:hanging="510"/>
      </w:pPr>
      <w:r>
        <w:rPr>
          <w:rFonts w:ascii="Times New Roman" w:hAnsi="Times New Roman" w:eastAsia="宋体"/>
          <w:b/>
          <w:i w:val="0"/>
          <w:color w:val="10305A"/>
          <w:sz w:val="19"/>
        </w:rPr>
        <w:t xml:space="preserve">[59] </w:t>
      </w:r>
      <w:r>
        <w:rPr>
          <w:rFonts w:ascii="Times New Roman" w:hAnsi="Times New Roman" w:eastAsia="宋体"/>
          <w:b w:val="0"/>
          <w:i w:val="0"/>
          <w:color w:val="1F2937"/>
          <w:sz w:val="19"/>
        </w:rPr>
        <w:t>Lee EY, et al. Human antimicrobial peptide LL-37 induces glial-mediated neuroinflammation. Biochem Pharmacol. 2015;94(2):130-141.</w:t>
      </w:r>
    </w:p>
    <w:p>
      <w:pPr>
        <w:spacing w:after="60" w:line="300" w:lineRule="auto"/>
        <w:ind w:left="510" w:hanging="510"/>
      </w:pPr>
      <w:r>
        <w:rPr>
          <w:rFonts w:ascii="Times New Roman" w:hAnsi="Times New Roman" w:eastAsia="宋体"/>
          <w:b/>
          <w:i w:val="0"/>
          <w:color w:val="10305A"/>
          <w:sz w:val="19"/>
        </w:rPr>
        <w:t xml:space="preserve">[60] </w:t>
      </w:r>
      <w:r>
        <w:rPr>
          <w:rFonts w:ascii="Times New Roman" w:hAnsi="Times New Roman" w:eastAsia="宋体"/>
          <w:b w:val="0"/>
          <w:i w:val="0"/>
          <w:color w:val="1F2937"/>
          <w:sz w:val="19"/>
        </w:rPr>
        <w:t>Yang H, et al. Microglia in the neuroinflammatory pathogenesis of Alzheimer’s disease and related therapeutic targets. Frontiers in Immunology. 2022;13:856376.</w:t>
      </w:r>
    </w:p>
    <w:p>
      <w:pPr>
        <w:spacing w:after="60" w:line="300" w:lineRule="auto"/>
        <w:ind w:left="510" w:hanging="510"/>
      </w:pPr>
      <w:r>
        <w:rPr>
          <w:rFonts w:ascii="Times New Roman" w:hAnsi="Times New Roman" w:eastAsia="宋体"/>
          <w:b/>
          <w:i w:val="0"/>
          <w:color w:val="10305A"/>
          <w:sz w:val="19"/>
        </w:rPr>
        <w:t xml:space="preserve">[61] </w:t>
      </w:r>
      <w:r>
        <w:rPr>
          <w:rFonts w:ascii="Times New Roman" w:hAnsi="Times New Roman" w:eastAsia="宋体"/>
          <w:b w:val="0"/>
          <w:i w:val="0"/>
          <w:color w:val="1F2937"/>
          <w:sz w:val="19"/>
        </w:rPr>
        <w:t>Lührs T, et al. 3D structure of Alzheimer's amyloid-β(1-42) fibrils. PNAS. 2005;102(48):17342-17347. (PDB 2BEG)</w:t>
      </w:r>
    </w:p>
    <w:p>
      <w:pPr>
        <w:spacing w:after="60" w:line="300" w:lineRule="auto"/>
        <w:ind w:left="510" w:hanging="510"/>
      </w:pPr>
      <w:r>
        <w:rPr>
          <w:rFonts w:ascii="Times New Roman" w:hAnsi="Times New Roman" w:eastAsia="宋体"/>
          <w:b/>
          <w:i w:val="0"/>
          <w:color w:val="10305A"/>
          <w:sz w:val="19"/>
        </w:rPr>
        <w:t xml:space="preserve">[62] </w:t>
      </w:r>
      <w:r>
        <w:rPr>
          <w:rFonts w:ascii="Times New Roman" w:hAnsi="Times New Roman" w:eastAsia="宋体"/>
          <w:b w:val="0"/>
          <w:i w:val="0"/>
          <w:color w:val="1F2937"/>
          <w:sz w:val="19"/>
        </w:rPr>
        <w:t>Gremer L, et al. Fibril structure of amyloid-β(1-42) by cryo-electron microscopy. Science. 2017;358(6359):116-119. (PDB 5OQV)</w:t>
      </w:r>
    </w:p>
    <w:p>
      <w:pPr>
        <w:spacing w:after="60" w:line="300" w:lineRule="auto"/>
        <w:ind w:left="510" w:hanging="510"/>
      </w:pPr>
      <w:r>
        <w:rPr>
          <w:rFonts w:ascii="Times New Roman" w:hAnsi="Times New Roman" w:eastAsia="宋体"/>
          <w:b/>
          <w:i w:val="0"/>
          <w:color w:val="10305A"/>
          <w:sz w:val="19"/>
        </w:rPr>
        <w:t xml:space="preserve">[63] </w:t>
      </w:r>
      <w:r>
        <w:rPr>
          <w:rFonts w:ascii="Times New Roman" w:hAnsi="Times New Roman" w:eastAsia="宋体"/>
          <w:b w:val="0"/>
          <w:i w:val="0"/>
          <w:color w:val="1F2937"/>
          <w:sz w:val="19"/>
        </w:rPr>
        <w:t>Colvin MT, et al. Atomic resolution structure of monomorphic Aβ42 amyloid fibrils. J Am Chem Soc. 2016;138(30):9663-9674. (PDB 5KK3)</w:t>
      </w:r>
    </w:p>
    <w:p>
      <w:pPr>
        <w:spacing w:after="60" w:line="300" w:lineRule="auto"/>
        <w:ind w:left="510" w:hanging="510"/>
      </w:pPr>
      <w:r>
        <w:rPr>
          <w:rFonts w:ascii="Times New Roman" w:hAnsi="Times New Roman" w:eastAsia="宋体"/>
          <w:b/>
          <w:i w:val="0"/>
          <w:color w:val="10305A"/>
          <w:sz w:val="19"/>
        </w:rPr>
        <w:t xml:space="preserve">[64] </w:t>
      </w:r>
      <w:r>
        <w:rPr>
          <w:rFonts w:ascii="Times New Roman" w:hAnsi="Times New Roman" w:eastAsia="宋体"/>
          <w:b w:val="0"/>
          <w:i w:val="0"/>
          <w:color w:val="1F2937"/>
          <w:sz w:val="19"/>
        </w:rPr>
        <w:t>Nasica-Labouze J, Nguyen PH, Sterpone F, et al. Amyloid β protein and Alzheimer's disease: when computer simulations complement experimental studies. Chem Rev. 2015;115(9):3518-3563.</w:t>
      </w:r>
    </w:p>
    <w:p>
      <w:pPr>
        <w:spacing w:after="60" w:line="300" w:lineRule="auto"/>
        <w:ind w:left="510" w:hanging="510"/>
      </w:pPr>
      <w:r>
        <w:rPr>
          <w:rFonts w:ascii="Times New Roman" w:hAnsi="Times New Roman" w:eastAsia="宋体"/>
          <w:b/>
          <w:i w:val="0"/>
          <w:color w:val="10305A"/>
          <w:sz w:val="19"/>
        </w:rPr>
        <w:t xml:space="preserve">[65] </w:t>
      </w:r>
      <w:r>
        <w:rPr>
          <w:rFonts w:ascii="Times New Roman" w:hAnsi="Times New Roman" w:eastAsia="宋体"/>
          <w:b w:val="0"/>
          <w:i w:val="0"/>
          <w:color w:val="1F2937"/>
          <w:sz w:val="19"/>
        </w:rPr>
        <w:t>Deane R, Du Yan S, Submamaryan RK, et al. RAGE mediates amyloid-β peptide transport across the blood-brain barrier and accumulation in brain. Nat Med. 2003;9(7):907-913.</w:t>
      </w:r>
    </w:p>
    <w:p>
      <w:pPr>
        <w:spacing w:after="60" w:line="300" w:lineRule="auto"/>
        <w:ind w:left="510" w:hanging="510"/>
      </w:pPr>
      <w:r>
        <w:rPr>
          <w:rFonts w:ascii="Times New Roman" w:hAnsi="Times New Roman" w:eastAsia="宋体"/>
          <w:b/>
          <w:i w:val="0"/>
          <w:color w:val="10305A"/>
          <w:sz w:val="19"/>
        </w:rPr>
        <w:t xml:space="preserve">[66] </w:t>
      </w:r>
      <w:r>
        <w:rPr>
          <w:rFonts w:ascii="Times New Roman" w:hAnsi="Times New Roman" w:eastAsia="宋体"/>
          <w:b w:val="0"/>
          <w:i w:val="0"/>
          <w:color w:val="1F2937"/>
          <w:sz w:val="19"/>
        </w:rPr>
        <w:t>Shibata M, Yamada S, Kumar SR, et al. Clearance of Alzheimer's amyloid-β1-40 peptide from brain by LDL receptor-related protein-1 at the blood-brain barrier. J Clin Invest. 2000;106(12):1489-1499.</w:t>
      </w:r>
    </w:p>
    <w:p>
      <w:pPr>
        <w:spacing w:after="60" w:line="300" w:lineRule="auto"/>
        <w:ind w:left="510" w:hanging="510"/>
      </w:pPr>
      <w:r>
        <w:rPr>
          <w:rFonts w:ascii="Times New Roman" w:hAnsi="Times New Roman" w:eastAsia="宋体"/>
          <w:b/>
          <w:i w:val="0"/>
          <w:color w:val="10305A"/>
          <w:sz w:val="19"/>
        </w:rPr>
        <w:t xml:space="preserve">[67] </w:t>
      </w:r>
      <w:r>
        <w:rPr>
          <w:rFonts w:ascii="Times New Roman" w:hAnsi="Times New Roman" w:eastAsia="宋体"/>
          <w:b w:val="0"/>
          <w:i w:val="0"/>
          <w:color w:val="1F2937"/>
          <w:sz w:val="19"/>
        </w:rPr>
        <w:t>Smith DE, Clémençon B, Hediger MA. Proton-coupled oligopeptide transporter family SLC15: physiological, pharmacological and pathological implications. Mol Aspects Med. 2013;34(2-3):323-336.</w:t>
      </w:r>
    </w:p>
    <w:p>
      <w:pPr>
        <w:spacing w:after="60" w:line="300" w:lineRule="auto"/>
        <w:ind w:left="510" w:hanging="510"/>
      </w:pPr>
      <w:r>
        <w:rPr>
          <w:rFonts w:ascii="Times New Roman" w:hAnsi="Times New Roman" w:eastAsia="宋体"/>
          <w:b/>
          <w:i w:val="0"/>
          <w:color w:val="10305A"/>
          <w:sz w:val="19"/>
        </w:rPr>
        <w:t xml:space="preserve">[68] </w:t>
      </w:r>
      <w:r>
        <w:rPr>
          <w:rFonts w:ascii="Times New Roman" w:hAnsi="Times New Roman" w:eastAsia="宋体"/>
          <w:b w:val="0"/>
          <w:i w:val="0"/>
          <w:color w:val="1F2937"/>
          <w:sz w:val="19"/>
        </w:rPr>
        <w:t>In silico prediction and validation of the permeability of small molecules across the blood-brain barrier. Int J Mol Sci. 2026;27(3):1427（高温 MD + 自由能剖面 + 脂质接触分解）</w:t>
      </w:r>
    </w:p>
    <w:p>
      <w:pPr>
        <w:spacing w:after="60" w:line="300" w:lineRule="auto"/>
        <w:ind w:left="510" w:hanging="510"/>
      </w:pPr>
      <w:r>
        <w:rPr>
          <w:rFonts w:ascii="Times New Roman" w:hAnsi="Times New Roman" w:eastAsia="宋体"/>
          <w:b/>
          <w:i w:val="0"/>
          <w:color w:val="10305A"/>
          <w:sz w:val="19"/>
        </w:rPr>
        <w:t xml:space="preserve">[69] </w:t>
      </w:r>
      <w:r>
        <w:rPr>
          <w:rFonts w:ascii="Times New Roman" w:hAnsi="Times New Roman" w:eastAsia="宋体"/>
          <w:b w:val="0"/>
          <w:i w:val="0"/>
          <w:color w:val="1F2937"/>
          <w:sz w:val="19"/>
        </w:rPr>
        <w:t>Enhancing blood-brain barrier penetration prediction by machine learning-based integration of novel and existing, in silico and experimental molecular parameters from a standardized database. J Chem Inf Model. 2025. DOI: 10.1021/acs.jcim.4c02212</w:t>
      </w:r>
    </w:p>
    <w:p>
      <w:pPr>
        <w:spacing w:after="60" w:line="300" w:lineRule="auto"/>
        <w:ind w:left="510" w:hanging="510"/>
      </w:pPr>
      <w:r>
        <w:rPr>
          <w:rFonts w:ascii="Times New Roman" w:hAnsi="Times New Roman" w:eastAsia="宋体"/>
          <w:b/>
          <w:i w:val="0"/>
          <w:color w:val="10305A"/>
          <w:sz w:val="19"/>
        </w:rPr>
        <w:t xml:space="preserve">[70] </w:t>
      </w:r>
      <w:r>
        <w:rPr>
          <w:rFonts w:ascii="Times New Roman" w:hAnsi="Times New Roman" w:eastAsia="宋体"/>
          <w:b w:val="0"/>
          <w:i w:val="0"/>
          <w:color w:val="1F2937"/>
          <w:sz w:val="19"/>
        </w:rPr>
        <w:t>Zhuang ZQ, Shen LL, Li WW, et al. Gut microbiota is altered in patients with Alzheimer's disease. J Alzheimers Dis. 2018;63(4):1337-1346.</w:t>
      </w:r>
    </w:p>
    <w:p>
      <w:pPr>
        <w:spacing w:after="60" w:line="300" w:lineRule="auto"/>
        <w:ind w:left="510" w:hanging="510"/>
      </w:pPr>
      <w:r>
        <w:rPr>
          <w:rFonts w:ascii="Times New Roman" w:hAnsi="Times New Roman" w:eastAsia="宋体"/>
          <w:b/>
          <w:i w:val="0"/>
          <w:color w:val="10305A"/>
          <w:sz w:val="19"/>
        </w:rPr>
        <w:t xml:space="preserve">[71] </w:t>
      </w:r>
      <w:r>
        <w:rPr>
          <w:rFonts w:ascii="Times New Roman" w:hAnsi="Times New Roman" w:eastAsia="宋体"/>
          <w:b w:val="0"/>
          <w:i w:val="0"/>
          <w:color w:val="1F2937"/>
          <w:sz w:val="19"/>
        </w:rPr>
        <w:t>Minter MR, Zhang C, Leone V, et al. Antibiotic-induced perturbations in gut microbial diversity influences neuro-inflammation and amyloidosis in a murine model of Alzheimer's disease. Sci Rep. 2016;6:30028.</w:t>
      </w:r>
    </w:p>
    <w:p>
      <w:pPr>
        <w:spacing w:after="60" w:line="300" w:lineRule="auto"/>
        <w:ind w:left="510" w:hanging="510"/>
      </w:pPr>
      <w:r>
        <w:rPr>
          <w:rFonts w:ascii="Times New Roman" w:hAnsi="Times New Roman" w:eastAsia="宋体"/>
          <w:b/>
          <w:i w:val="0"/>
          <w:color w:val="10305A"/>
          <w:sz w:val="19"/>
        </w:rPr>
        <w:t xml:space="preserve">[72] </w:t>
      </w:r>
      <w:r>
        <w:rPr>
          <w:rFonts w:ascii="Times New Roman" w:hAnsi="Times New Roman" w:eastAsia="宋体"/>
          <w:b w:val="0"/>
          <w:i w:val="0"/>
          <w:color w:val="1F2937"/>
          <w:sz w:val="19"/>
        </w:rPr>
        <w:t>Minter MR, Hinterleitner R, Meisel M, et al. Antibiotic-induced perturbations in microbial diversity during post-natal development alters amyloid pathology in an aged APP/PS1 murine model of Alzheimer's disease. Sci Rep. 2017;7:10411.</w:t>
      </w:r>
    </w:p>
    <w:p>
      <w:pPr>
        <w:spacing w:after="60" w:line="300" w:lineRule="auto"/>
        <w:ind w:left="510" w:hanging="510"/>
      </w:pPr>
      <w:r>
        <w:rPr>
          <w:rFonts w:ascii="Times New Roman" w:hAnsi="Times New Roman" w:eastAsia="宋体"/>
          <w:b/>
          <w:i w:val="0"/>
          <w:color w:val="10305A"/>
          <w:sz w:val="19"/>
        </w:rPr>
        <w:t xml:space="preserve">[73] </w:t>
      </w:r>
      <w:r>
        <w:rPr>
          <w:rFonts w:ascii="Times New Roman" w:hAnsi="Times New Roman" w:eastAsia="宋体"/>
          <w:b w:val="0"/>
          <w:i w:val="0"/>
          <w:color w:val="1F2937"/>
          <w:sz w:val="19"/>
        </w:rPr>
        <w:t>Harach T, Marungruang N, Duthilleul N, et al. Reduction of Abeta amyloid pathology in APPPS1 transgenic mice in the absence of gut microbiota. Sci Rep. 2017;7:41802.</w:t>
      </w:r>
    </w:p>
    <w:p>
      <w:pPr>
        <w:spacing w:after="60" w:line="300" w:lineRule="auto"/>
        <w:ind w:left="510" w:hanging="510"/>
      </w:pPr>
      <w:r>
        <w:rPr>
          <w:rFonts w:ascii="Times New Roman" w:hAnsi="Times New Roman" w:eastAsia="宋体"/>
          <w:b/>
          <w:i w:val="0"/>
          <w:color w:val="10305A"/>
          <w:sz w:val="19"/>
        </w:rPr>
        <w:t xml:space="preserve">[74] </w:t>
      </w:r>
      <w:r>
        <w:rPr>
          <w:rFonts w:ascii="Times New Roman" w:hAnsi="Times New Roman" w:eastAsia="宋体"/>
          <w:b w:val="0"/>
          <w:i w:val="0"/>
          <w:color w:val="1F2937"/>
          <w:sz w:val="19"/>
        </w:rPr>
        <w:t>Exploring the effect of gut microbiome on Alzheimer’s disease. 2024 review. ScienceDirect article S2405580824001407.</w:t>
      </w:r>
    </w:p>
    <w:p>
      <w:pPr>
        <w:spacing w:after="60" w:line="300" w:lineRule="auto"/>
        <w:ind w:left="510" w:hanging="510"/>
      </w:pPr>
      <w:r>
        <w:rPr>
          <w:rFonts w:ascii="Times New Roman" w:hAnsi="Times New Roman" w:eastAsia="宋体"/>
          <w:b/>
          <w:i w:val="0"/>
          <w:color w:val="10305A"/>
          <w:sz w:val="19"/>
        </w:rPr>
        <w:t xml:space="preserve">[75] </w:t>
      </w:r>
      <w:r>
        <w:rPr>
          <w:rFonts w:ascii="Times New Roman" w:hAnsi="Times New Roman" w:eastAsia="宋体"/>
          <w:b w:val="0"/>
          <w:i w:val="0"/>
          <w:color w:val="1F2937"/>
          <w:sz w:val="19"/>
        </w:rPr>
        <w:t>Zhang Y, Liu Y, Tang Y, Zhang D, He H, Wu J, Zheng J. Antimicrobial α-defensins as multi-target inhibitors against amyloid formation and microbial infection. Chem Sci. 2021;12(26):9124-9139.</w:t>
      </w:r>
    </w:p>
    <w:p>
      <w:pPr>
        <w:spacing w:after="60" w:line="300" w:lineRule="auto"/>
        <w:ind w:left="510" w:hanging="510"/>
      </w:pPr>
      <w:r>
        <w:rPr>
          <w:rFonts w:ascii="Times New Roman" w:hAnsi="Times New Roman" w:eastAsia="宋体"/>
          <w:b/>
          <w:i w:val="0"/>
          <w:color w:val="10305A"/>
          <w:sz w:val="19"/>
        </w:rPr>
        <w:t xml:space="preserve">[76] </w:t>
      </w:r>
      <w:r>
        <w:rPr>
          <w:rFonts w:ascii="Times New Roman" w:hAnsi="Times New Roman" w:eastAsia="宋体"/>
          <w:b w:val="0"/>
          <w:i w:val="0"/>
          <w:color w:val="1F2937"/>
          <w:sz w:val="19"/>
        </w:rPr>
        <w:t>Repurposing of intestinal defensins as multi-target, dual-function amyloid inhibitors via cross-seeding. Chem Sci. 2022. PMC9214849.</w:t>
      </w:r>
    </w:p>
    <w:p>
      <w:pPr>
        <w:spacing w:after="60" w:line="300" w:lineRule="auto"/>
        <w:ind w:left="510" w:hanging="510"/>
      </w:pPr>
      <w:r>
        <w:rPr>
          <w:rFonts w:ascii="Times New Roman" w:hAnsi="Times New Roman" w:eastAsia="宋体"/>
          <w:b/>
          <w:i w:val="0"/>
          <w:color w:val="10305A"/>
          <w:sz w:val="19"/>
        </w:rPr>
        <w:t xml:space="preserve">[77] </w:t>
      </w:r>
      <w:r>
        <w:rPr>
          <w:rFonts w:ascii="Times New Roman" w:hAnsi="Times New Roman" w:eastAsia="宋体"/>
          <w:b w:val="0"/>
          <w:i w:val="0"/>
          <w:color w:val="1F2937"/>
          <w:sz w:val="19"/>
        </w:rPr>
        <w:t>Abraham MJ, Murtola T, Schulz R, et al. GROMACS: high performance molecular simulations through multi-level parallelism from laptops to supercomputers. SoftwareX. 2015;1-2:19-25.</w:t>
      </w:r>
    </w:p>
    <w:p>
      <w:pPr>
        <w:spacing w:after="60" w:line="300" w:lineRule="auto"/>
        <w:ind w:left="510" w:hanging="510"/>
      </w:pPr>
      <w:r>
        <w:rPr>
          <w:rFonts w:ascii="Times New Roman" w:hAnsi="Times New Roman" w:eastAsia="宋体"/>
          <w:b/>
          <w:i w:val="0"/>
          <w:color w:val="10305A"/>
          <w:sz w:val="19"/>
        </w:rPr>
        <w:t xml:space="preserve">[78] </w:t>
      </w:r>
      <w:r>
        <w:rPr>
          <w:rFonts w:ascii="Times New Roman" w:hAnsi="Times New Roman" w:eastAsia="宋体"/>
          <w:b w:val="0"/>
          <w:i w:val="0"/>
          <w:color w:val="1F2937"/>
          <w:sz w:val="19"/>
        </w:rPr>
        <w:t>Huang J, Rauscher S, Nawrocki G, et al. CHARMM36m: an improved force field for folded and intrinsically disordered proteins. Nat Methods. 2017;14(1):71-73.</w:t>
      </w:r>
    </w:p>
    <w:p>
      <w:pPr>
        <w:spacing w:after="60" w:line="300" w:lineRule="auto"/>
        <w:ind w:left="510" w:hanging="510"/>
      </w:pPr>
      <w:r>
        <w:rPr>
          <w:rFonts w:ascii="Times New Roman" w:hAnsi="Times New Roman" w:eastAsia="宋体"/>
          <w:b/>
          <w:i w:val="0"/>
          <w:color w:val="10305A"/>
          <w:sz w:val="19"/>
        </w:rPr>
        <w:t xml:space="preserve">[79] </w:t>
      </w:r>
      <w:r>
        <w:rPr>
          <w:rFonts w:ascii="Times New Roman" w:hAnsi="Times New Roman" w:eastAsia="宋体"/>
          <w:b w:val="0"/>
          <w:i w:val="0"/>
          <w:color w:val="1F2937"/>
          <w:sz w:val="19"/>
        </w:rPr>
        <w:t>Torrie GM, Valleau JP. Nonphysical sampling distributions in Monte Carlo free-energy estimation: umbrella sampling. J Comput Phys. 1977;23(2):187-199.</w:t>
      </w:r>
    </w:p>
    <w:p>
      <w:pPr>
        <w:spacing w:after="60" w:line="300" w:lineRule="auto"/>
        <w:ind w:left="510" w:hanging="510"/>
      </w:pPr>
      <w:r>
        <w:rPr>
          <w:rFonts w:ascii="Times New Roman" w:hAnsi="Times New Roman" w:eastAsia="宋体"/>
          <w:b/>
          <w:i w:val="0"/>
          <w:color w:val="10305A"/>
          <w:sz w:val="19"/>
        </w:rPr>
        <w:t xml:space="preserve">[80] </w:t>
      </w:r>
      <w:r>
        <w:rPr>
          <w:rFonts w:ascii="Times New Roman" w:hAnsi="Times New Roman" w:eastAsia="宋体"/>
          <w:b w:val="0"/>
          <w:i w:val="0"/>
          <w:color w:val="1F2937"/>
          <w:sz w:val="19"/>
        </w:rPr>
        <w:t>Kumar S, Rosenberg JM, Bouzida D, et al. The weighted histogram analysis method for free-energy calculations on biomolecules. J Comput Chem. 1992;13(8):1011-1021.</w:t>
      </w:r>
    </w:p>
    <w:p>
      <w:pPr>
        <w:spacing w:after="60" w:line="300" w:lineRule="auto"/>
        <w:ind w:left="510" w:hanging="510"/>
      </w:pPr>
      <w:r>
        <w:rPr>
          <w:rFonts w:ascii="Times New Roman" w:hAnsi="Times New Roman" w:eastAsia="宋体"/>
          <w:b/>
          <w:i w:val="0"/>
          <w:color w:val="10305A"/>
          <w:sz w:val="19"/>
        </w:rPr>
        <w:t xml:space="preserve">[81] </w:t>
      </w:r>
      <w:r>
        <w:rPr>
          <w:rFonts w:ascii="Times New Roman" w:hAnsi="Times New Roman" w:eastAsia="宋体"/>
          <w:b w:val="0"/>
          <w:i w:val="0"/>
          <w:color w:val="1F2937"/>
          <w:sz w:val="19"/>
        </w:rPr>
        <w:t>Valdés-Tresanco MS, Valdés-Tresanco ME, Valiente PA, Moreno E. gmx_MMPBSA: a new tool to perform end-state free energy calculations with GROMACS. J Chem Theory Comput. 2021;17(10):6281-6291. DOI: 10.1021/acs.jctc.1c00645</w:t>
      </w:r>
    </w:p>
    <w:p>
      <w:pPr>
        <w:spacing w:after="60" w:line="300" w:lineRule="auto"/>
        <w:ind w:left="510" w:hanging="510"/>
      </w:pPr>
      <w:r>
        <w:rPr>
          <w:rFonts w:ascii="Times New Roman" w:hAnsi="Times New Roman" w:eastAsia="宋体"/>
          <w:b/>
          <w:i w:val="0"/>
          <w:color w:val="10305A"/>
          <w:sz w:val="19"/>
        </w:rPr>
        <w:t xml:space="preserve">[82] </w:t>
      </w:r>
      <w:r>
        <w:rPr>
          <w:rFonts w:ascii="Times New Roman" w:hAnsi="Times New Roman" w:eastAsia="宋体"/>
          <w:b w:val="0"/>
          <w:i w:val="0"/>
          <w:color w:val="1F2937"/>
          <w:sz w:val="19"/>
        </w:rPr>
        <w:t>Parker TM, Burns LA, Parrish RM, et al. Levels of symmetry adapted perturbation theory (SAPT). I. Efficiency and performance for interaction energies. J Chem Phys. 2014;140(9):094106.</w:t>
      </w:r>
    </w:p>
    <w:p>
      <w:pPr>
        <w:spacing w:after="60" w:line="300" w:lineRule="auto"/>
        <w:ind w:left="510" w:hanging="510"/>
      </w:pPr>
      <w:r>
        <w:rPr>
          <w:rFonts w:ascii="Times New Roman" w:hAnsi="Times New Roman" w:eastAsia="宋体"/>
          <w:b/>
          <w:i w:val="0"/>
          <w:color w:val="10305A"/>
          <w:sz w:val="19"/>
        </w:rPr>
        <w:t xml:space="preserve">[83] </w:t>
      </w:r>
      <w:r>
        <w:rPr>
          <w:rFonts w:ascii="Times New Roman" w:hAnsi="Times New Roman" w:eastAsia="宋体"/>
          <w:b w:val="0"/>
          <w:i w:val="0"/>
          <w:color w:val="1F2937"/>
          <w:sz w:val="19"/>
        </w:rPr>
        <w:t>Senn HM, Thiel W. QM/MM methods for biomolecular systems. Angew Chem Int Ed. 2009;48(7):1198-1229.</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