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 AD 特异性特有抗菌肽筛选等主体工作，结果可信，进度与开题计划一致。同意该生参加学位论文预答辩。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