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pageBreakBefore/>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pageBreakBefore/>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学习态度端正，科研作风严谨，能够独立查阅文献、设计分析方案并完成数据处理与建模工作，具备较好的生物信息学分析与英文论文写作基础，科研潜力良好。中期检查阶段已完成全队列宏基因组数据处理与微生物基因组参考集构建、微生物源短肽库构建、多模型共识预测、分阶段差异分析以及宏蛋白组表达证据二次去重与 AD 特异性特有抗菌肽筛选等主体工作，结果可信，进度与开题计划一致；对预测假阳性、机制关联证据强度有限等问题已有明确处理办法，后续工作安排合理。同意该生参加学位论文预答辩。</w:t>
            </w: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李向阳</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江婷婷</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孙杰</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高洪伟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