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耳鳴藥組一（重鎮三藥）：龍骨、牡蠣、磁石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耳鳴藥組二（通氣三藥）：香附、柴胡、川芎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耳鳴藥組三（通竅二藥）：通草、木賊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腰三藥：杜仲、桑寄生、川續斷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藏精六藥：附子、龍骨、牡蠣、杜仲、桑寄生、川續斷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參苓白朮散（</w:t>
      </w:r>
      <w:r>
        <w:rPr>
          <w:rFonts w:hint="default"/>
          <w:sz w:val="24"/>
          <w:szCs w:val="24"/>
        </w:rPr>
        <w:t>白扁豆、白术、茯苓、甘草、桔梗、莲子、人参、砂仁、山药、薏苡仁</w:t>
      </w:r>
      <w:r>
        <w:rPr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失笑散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24"/>
          <w:szCs w:val="24"/>
        </w:rPr>
        <w:t>五灵脂(酒研，淘去沙土)、蒲黄(炒香)各6g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43FDDE7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4B0CBD"/>
    <w:rsid w:val="7ECEA779"/>
    <w:rsid w:val="7EFF337C"/>
    <w:rsid w:val="7F7C1BC2"/>
    <w:rsid w:val="7F7F614F"/>
    <w:rsid w:val="7FADAC5C"/>
    <w:rsid w:val="7FB13722"/>
    <w:rsid w:val="7FBB9537"/>
    <w:rsid w:val="7FEF5BA8"/>
    <w:rsid w:val="7FF28C55"/>
    <w:rsid w:val="9C6753B6"/>
    <w:rsid w:val="ABF6BA38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EFB52A98"/>
    <w:rsid w:val="F3FD4C0B"/>
    <w:rsid w:val="F411A462"/>
    <w:rsid w:val="F4EF15B4"/>
    <w:rsid w:val="F51FBDC2"/>
    <w:rsid w:val="F69F4265"/>
    <w:rsid w:val="F6CD97B1"/>
    <w:rsid w:val="F8B13243"/>
    <w:rsid w:val="FA7E4A0F"/>
    <w:rsid w:val="FAD7B370"/>
    <w:rsid w:val="FBFF4ECE"/>
    <w:rsid w:val="FD3F87DB"/>
    <w:rsid w:val="FE7D0ABC"/>
    <w:rsid w:val="FF3FA622"/>
    <w:rsid w:val="FF6D3B06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2016-07-26T07:51:00Z</dcterms:created>
  <dc:creator>love</dc:creator>
  <cp:lastModifiedBy>love</cp:lastModifiedBy>
  <dcterms:modified xsi:type="dcterms:W3CDTF">2016-11-10T15:11:19Z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