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before="0" w:after="40" w:line="269" w:lineRule="auto"/>
        <w:jc w:val="center"/>
      </w:pPr>
      <w:r>
        <w:rPr>
          <w:rFonts w:ascii="Arial" w:hAnsi="Arial" w:cs="Arial" w:eastAsia="Arial"/>
          <w:b w:val="0"/>
          <w:i w:val="0"/>
          <w:color w:val="92400E"/>
          <w:sz w:val="18"/>
        </w:rPr>
        <w:t>مراجعة مكتبية على فيديو  ·  لا تغني عن القياس والمعاينة في الموقع</w:t>
      </w:r>
    </w:p>
    <w:p>
      <w:pPr>
        <w:bidi w:val="1"/>
        <w:spacing w:before="0" w:after="0" w:line="269" w:lineRule="auto"/>
        <w:jc w:val="center"/>
      </w:pPr>
      <w:r>
        <w:rPr>
          <w:rFonts w:ascii="Arial" w:hAnsi="Arial" w:cs="Arial" w:eastAsia="Arial"/>
          <w:b/>
          <w:i w:val="0"/>
          <w:color w:val="0B2545"/>
          <w:sz w:val="44"/>
        </w:rPr>
        <w:t>تقرير فحص فني</w:t>
      </w:r>
    </w:p>
    <w:p>
      <w:pPr>
        <w:bidi w:val="1"/>
        <w:spacing w:before="0" w:after="0" w:line="269" w:lineRule="auto"/>
        <w:jc w:val="center"/>
      </w:pPr>
      <w:r>
        <w:rPr>
          <w:rFonts w:ascii="Arial" w:hAnsi="Arial" w:cs="Arial" w:eastAsia="Arial"/>
          <w:b/>
          <w:i w:val="0"/>
          <w:color w:val="1E293B"/>
          <w:sz w:val="28"/>
        </w:rPr>
        <w:t>تأسيس الكهرباء داخل البلاطة قبل الصب</w:t>
      </w:r>
    </w:p>
    <w:p>
      <w:pPr>
        <w:bidi w:val="1"/>
        <w:spacing w:before="0" w:after="40" w:line="269" w:lineRule="auto"/>
        <w:jc w:val="center"/>
      </w:pPr>
      <w:r>
        <w:rPr>
          <w:rFonts w:ascii="Arial" w:hAnsi="Arial" w:cs="Arial" w:eastAsia="Arial"/>
          <w:b w:val="0"/>
          <w:i w:val="0"/>
          <w:color w:val="0B2545"/>
          <w:sz w:val="22"/>
        </w:rPr>
        <w:t>دور التسوية الثاني  ·  اللوحات ELE-03 وELE-09 وELE-15 وELE-21 وELE-27</w:t>
      </w:r>
    </w:p>
    <w:p>
      <w:pPr>
        <w:spacing w:before="0" w:after="160" w:line="259" w:lineRule="auto"/>
        <w:jc w:val="center"/>
      </w:pPr>
      <w:r>
        <w:rPr>
          <w:rFonts w:ascii="Arial" w:hAnsi="Arial" w:cs="Arial" w:eastAsia="Arial"/>
          <w:b w:val="0"/>
          <w:i/>
          <w:color w:val="475569"/>
          <w:sz w:val="18"/>
        </w:rPr>
        <w:t>Technical inspection report — nonconformance. Embedded electrical installations before concrete placement. Second basement (N-B2 / EM-B2).</w:t>
      </w:r>
    </w:p>
    <w:tbl>
      <w:tblPr>
        <w:tblW w:type="dxa" w:w="10319"/>
        <w:jc w:val="center"/>
        <w:tblLayout w:type="fixed"/>
        <w:tblLook w:firstColumn="1" w:firstRow="1" w:lastColumn="0" w:lastRow="0" w:noHBand="0" w:noVBand="1" w:val="04A0"/>
        <w:bidiVisual w:val="1"/>
        <w:tblBorders>
          <w:top w:val="single" w:sz="4" w:space="0" w:color="D6D1C7"/>
          <w:left w:val="single" w:sz="4" w:space="0" w:color="D6D1C7"/>
          <w:bottom w:val="single" w:sz="4" w:space="0" w:color="D6D1C7"/>
          <w:right w:val="single" w:sz="4" w:space="0" w:color="D6D1C7"/>
          <w:insideH w:val="single" w:sz="4" w:space="0" w:color="D6D1C7"/>
          <w:insideV w:val="single" w:sz="4" w:space="0" w:color="D6D1C7"/>
        </w:tblBorders>
      </w:tblPr>
      <w:tblGrid>
        <w:gridCol w:w="2041"/>
        <w:gridCol w:w="8278"/>
      </w:tblGrid>
      <w:tr>
        <w:trPr>
          <w:tblHeader/>
        </w:trPr>
        <w:tc>
          <w:tcPr>
            <w:tcW w:type="dxa" w:w="2041"/>
            <w:shd w:val="clear" w:color="auto" w:fill="0B254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9"/>
              </w:rPr>
              <w:t>البيان</w:t>
            </w:r>
          </w:p>
        </w:tc>
        <w:tc>
          <w:tcPr>
            <w:tcW w:type="dxa" w:w="8278"/>
            <w:shd w:val="clear" w:color="auto" w:fill="0B254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9"/>
              </w:rPr>
              <w:t>القيمة</w:t>
            </w:r>
          </w:p>
        </w:tc>
      </w:tr>
      <w:tr>
        <w:tc>
          <w:tcPr>
            <w:tcW w:type="dxa" w:w="2041"/>
            <w:tcMar>
              <w:top w:w="60" w:type="dxa"/>
              <w:left w:w="60" w:type="dxa"/>
              <w:bottom w:w="60" w:type="dxa"/>
              <w:right w:w="60" w:type="dxa"/>
            </w:tcMar>
            <w:vAlign w:val="center"/>
          </w:tcPr>
          <w:p>
            <w:pPr>
              <w:bidi w:val="1"/>
              <w:spacing w:before="0" w:after="0" w:line="269" w:lineRule="auto"/>
              <w:jc w:val="right"/>
            </w:pPr>
            <w:r>
              <w:rPr>
                <w:rFonts w:ascii="Arial" w:hAnsi="Arial" w:cs="Arial" w:eastAsia="Arial"/>
                <w:i w:val="0"/>
                <w:color w:val="1E293B"/>
                <w:sz w:val="18"/>
              </w:rPr>
              <w:t>المشروع</w:t>
            </w:r>
          </w:p>
        </w:tc>
        <w:tc>
          <w:tcPr>
            <w:tcW w:type="dxa" w:w="8278"/>
            <w:tcMar>
              <w:top w:w="60" w:type="dxa"/>
              <w:left w:w="60" w:type="dxa"/>
              <w:bottom w:w="60" w:type="dxa"/>
              <w:right w:w="60" w:type="dxa"/>
            </w:tcMar>
            <w:vAlign w:val="center"/>
          </w:tcPr>
          <w:p>
            <w:pPr>
              <w:bidi w:val="1"/>
              <w:spacing w:before="0" w:after="0" w:line="269" w:lineRule="auto"/>
              <w:jc w:val="right"/>
            </w:pPr>
            <w:r>
              <w:rPr>
                <w:rFonts w:ascii="Arial" w:hAnsi="Arial" w:cs="Arial" w:eastAsia="Arial"/>
                <w:i w:val="0"/>
                <w:color w:val="1E293B"/>
                <w:sz w:val="18"/>
              </w:rPr>
              <w:t>حسن زاهر علي البارقي — أعمال الكهرباء (حسب اسم ملف المخطط)</w:t>
            </w:r>
          </w:p>
        </w:tc>
      </w:tr>
      <w:tr>
        <w:tc>
          <w:tcPr>
            <w:tcW w:type="dxa" w:w="2041"/>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i w:val="0"/>
                <w:color w:val="1E293B"/>
                <w:sz w:val="18"/>
              </w:rPr>
              <w:t>مرجع المخطط</w:t>
            </w:r>
          </w:p>
        </w:tc>
        <w:tc>
          <w:tcPr>
            <w:tcW w:type="dxa" w:w="8278"/>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i w:val="0"/>
                <w:color w:val="1E293B"/>
                <w:sz w:val="18"/>
              </w:rPr>
              <w:t>ملف DWG واحد، AutoCAD 2018 (AC1032). لا توجد نسخة PDF مختومة مع المرفقات</w:t>
            </w:r>
          </w:p>
        </w:tc>
      </w:tr>
      <w:tr>
        <w:tc>
          <w:tcPr>
            <w:tcW w:type="dxa" w:w="2041"/>
            <w:tcMar>
              <w:top w:w="60" w:type="dxa"/>
              <w:left w:w="60" w:type="dxa"/>
              <w:bottom w:w="60" w:type="dxa"/>
              <w:right w:w="60" w:type="dxa"/>
            </w:tcMar>
            <w:vAlign w:val="center"/>
          </w:tcPr>
          <w:p>
            <w:pPr>
              <w:bidi w:val="1"/>
              <w:spacing w:before="0" w:after="0" w:line="269" w:lineRule="auto"/>
              <w:jc w:val="right"/>
            </w:pPr>
            <w:r>
              <w:rPr>
                <w:rFonts w:ascii="Arial" w:hAnsi="Arial" w:cs="Arial" w:eastAsia="Arial"/>
                <w:i w:val="0"/>
                <w:color w:val="1E293B"/>
                <w:sz w:val="18"/>
              </w:rPr>
              <w:t>لوحات الدور</w:t>
            </w:r>
          </w:p>
        </w:tc>
        <w:tc>
          <w:tcPr>
            <w:tcW w:type="dxa" w:w="8278"/>
            <w:tcMar>
              <w:top w:w="60" w:type="dxa"/>
              <w:left w:w="60" w:type="dxa"/>
              <w:bottom w:w="60" w:type="dxa"/>
              <w:right w:w="60" w:type="dxa"/>
            </w:tcMar>
            <w:vAlign w:val="center"/>
          </w:tcPr>
          <w:p>
            <w:pPr>
              <w:bidi w:val="1"/>
              <w:spacing w:before="0" w:after="0" w:line="269" w:lineRule="auto"/>
              <w:jc w:val="right"/>
            </w:pPr>
            <w:r>
              <w:rPr>
                <w:rFonts w:ascii="Arial" w:hAnsi="Arial" w:cs="Arial" w:eastAsia="Arial"/>
                <w:i w:val="0"/>
                <w:color w:val="1E293B"/>
                <w:sz w:val="18"/>
              </w:rPr>
              <w:t>ELE-03 إنارة، ELE-09 مآخذ، ELE-15 تغذية ميكانيكية، ELE-21 مسار كابلات، ELE-27 تيار خفيف</w:t>
            </w:r>
          </w:p>
        </w:tc>
      </w:tr>
      <w:tr>
        <w:tc>
          <w:tcPr>
            <w:tcW w:type="dxa" w:w="2041"/>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i w:val="0"/>
                <w:color w:val="1E293B"/>
                <w:sz w:val="18"/>
              </w:rPr>
              <w:t>مادة الفحص</w:t>
            </w:r>
          </w:p>
        </w:tc>
        <w:tc>
          <w:tcPr>
            <w:tcW w:type="dxa" w:w="8278"/>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i w:val="0"/>
                <w:color w:val="1E293B"/>
                <w:sz w:val="18"/>
              </w:rPr>
              <w:t>فيديوهان بتاريخ 20 أكتوبر 2026 (35 ثانية و114 ثانية)</w:t>
            </w:r>
          </w:p>
        </w:tc>
      </w:tr>
      <w:tr>
        <w:tc>
          <w:tcPr>
            <w:tcW w:type="dxa" w:w="2041"/>
            <w:tcMar>
              <w:top w:w="60" w:type="dxa"/>
              <w:left w:w="60" w:type="dxa"/>
              <w:bottom w:w="60" w:type="dxa"/>
              <w:right w:w="60" w:type="dxa"/>
            </w:tcMar>
            <w:vAlign w:val="center"/>
          </w:tcPr>
          <w:p>
            <w:pPr>
              <w:bidi w:val="1"/>
              <w:spacing w:before="0" w:after="0" w:line="269" w:lineRule="auto"/>
              <w:jc w:val="right"/>
            </w:pPr>
            <w:r>
              <w:rPr>
                <w:rFonts w:ascii="Arial" w:hAnsi="Arial" w:cs="Arial" w:eastAsia="Arial"/>
                <w:i w:val="0"/>
                <w:color w:val="1E293B"/>
                <w:sz w:val="18"/>
              </w:rPr>
              <w:t>تاريخ التقرير</w:t>
            </w:r>
          </w:p>
        </w:tc>
        <w:tc>
          <w:tcPr>
            <w:tcW w:type="dxa" w:w="8278"/>
            <w:tcMar>
              <w:top w:w="60" w:type="dxa"/>
              <w:left w:w="60" w:type="dxa"/>
              <w:bottom w:w="60" w:type="dxa"/>
              <w:right w:w="60" w:type="dxa"/>
            </w:tcMar>
            <w:vAlign w:val="center"/>
          </w:tcPr>
          <w:p>
            <w:pPr>
              <w:bidi w:val="1"/>
              <w:spacing w:before="0" w:after="0" w:line="269" w:lineRule="auto"/>
              <w:jc w:val="right"/>
            </w:pPr>
            <w:r>
              <w:rPr>
                <w:rFonts w:ascii="Arial" w:hAnsi="Arial" w:cs="Arial" w:eastAsia="Arial"/>
                <w:i w:val="0"/>
                <w:color w:val="1E293B"/>
                <w:sz w:val="18"/>
              </w:rPr>
              <w:t>21 أكتوبر 2026</w:t>
            </w:r>
          </w:p>
        </w:tc>
      </w:tr>
      <w:tr>
        <w:tc>
          <w:tcPr>
            <w:tcW w:type="dxa" w:w="2041"/>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i w:val="0"/>
                <w:color w:val="1E293B"/>
                <w:sz w:val="18"/>
              </w:rPr>
              <w:t>طبيعة المستند</w:t>
            </w:r>
          </w:p>
        </w:tc>
        <w:tc>
          <w:tcPr>
            <w:tcW w:type="dxa" w:w="8278"/>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i w:val="0"/>
                <w:color w:val="1E293B"/>
                <w:sz w:val="18"/>
              </w:rPr>
              <w:t>فحص عدم مطابقة ووقف صب. ليس محضر استلام ولا اعتماد تنفيذ</w:t>
            </w:r>
          </w:p>
        </w:tc>
      </w:tr>
    </w:tbl>
    <w:p>
      <w:pPr>
        <w:bidi w:val="1"/>
        <w:spacing w:before="0" w:after="40" w:line="269" w:lineRule="auto"/>
        <w:jc w:val="right"/>
      </w:pPr>
    </w:p>
    <w:tbl>
      <w:tblPr>
        <w:tblW w:type="dxa" w:w="10319"/>
        <w:jc w:val="center"/>
        <w:tblLayout w:type="fixed"/>
        <w:tblLook w:firstColumn="1" w:firstRow="1" w:lastColumn="0" w:lastRow="0" w:noHBand="0" w:noVBand="1" w:val="04A0"/>
        <w:bidiVisual w:val="1"/>
        <w:tblBorders>
          <w:top w:val="single" w:sz="8" w:space="0" w:color="991B1B"/>
          <w:left w:val="single" w:sz="8" w:space="0" w:color="991B1B"/>
          <w:bottom w:val="single" w:sz="8" w:space="0" w:color="991B1B"/>
          <w:right w:val="single" w:sz="8" w:space="0" w:color="991B1B"/>
          <w:insideH w:val="single" w:sz="8" w:space="0" w:color="991B1B"/>
          <w:insideV w:val="single" w:sz="8" w:space="0" w:color="991B1B"/>
        </w:tblBorders>
      </w:tblPr>
      <w:tblGrid>
        <w:gridCol w:w="10319"/>
      </w:tblGrid>
      <w:tr>
        <w:tc>
          <w:tcPr>
            <w:tcW w:type="dxa" w:w="10319"/>
            <w:shd w:val="clear" w:color="auto" w:fill="FDECEC"/>
            <w:tcMar>
              <w:top w:w="80" w:type="dxa"/>
              <w:left w:w="80" w:type="dxa"/>
              <w:bottom w:w="80" w:type="dxa"/>
              <w:right w:w="80" w:type="dxa"/>
            </w:tcMar>
          </w:tcPr>
          <w:p>
            <w:pPr>
              <w:bidi w:val="1"/>
              <w:spacing w:before="0" w:after="0" w:line="269" w:lineRule="auto"/>
              <w:jc w:val="right"/>
            </w:pPr>
            <w:r>
              <w:rPr>
                <w:rFonts w:ascii="Arial" w:hAnsi="Arial" w:cs="Arial" w:eastAsia="Arial"/>
                <w:b/>
                <w:i w:val="0"/>
                <w:color w:val="991B1B"/>
                <w:sz w:val="22"/>
              </w:rPr>
              <w:t>القرار: الأعمال الظاهرة غير مطابقة للوحات دور التسوية الثاني. يُوقف الصب في المسطحات المصوّرة حتى إغلاق الملاحظات كتابياً. الشرح الشفهي في الفيديو لا يُعدّ تسليماً فنياً، والصب قبله إخفاءٌ لأعمال غير معتمدة، ولا يُنشئ للمقاول حقاً.</w:t>
            </w:r>
          </w:p>
        </w:tc>
      </w:tr>
    </w:tbl>
    <w:p>
      <w:pPr>
        <w:bidi w:val="1"/>
        <w:spacing w:before="0" w:after="40" w:line="269" w:lineRule="auto"/>
        <w:jc w:val="right"/>
      </w:pPr>
    </w:p>
    <w:p>
      <w:pPr>
        <w:bidi w:val="1"/>
        <w:spacing w:before="240" w:after="80" w:line="269" w:lineRule="auto"/>
        <w:jc w:val="right"/>
        <w:pBdr>
          <w:bottom w:val="single" w:sz="8" w:space="1" w:color="0B2545"/>
        </w:pBdr>
      </w:pPr>
      <w:r>
        <w:rPr>
          <w:rFonts w:ascii="Arial" w:hAnsi="Arial" w:cs="Arial" w:eastAsia="Arial"/>
          <w:b/>
          <w:i w:val="0"/>
          <w:color w:val="0B2545"/>
          <w:sz w:val="26"/>
        </w:rPr>
        <w:t>1. نطاق المراجعة</w:t>
      </w:r>
    </w:p>
    <w:p>
      <w:pPr>
        <w:bidi w:val="1"/>
        <w:spacing w:before="0" w:after="120" w:line="269" w:lineRule="auto"/>
        <w:jc w:val="right"/>
      </w:pPr>
      <w:r>
        <w:rPr>
          <w:rFonts w:ascii="Arial" w:hAnsi="Arial" w:cs="Arial" w:eastAsia="Arial"/>
          <w:b w:val="0"/>
          <w:i w:val="0"/>
          <w:color w:val="1E293B"/>
          <w:sz w:val="22"/>
        </w:rPr>
        <w:t>رُوجع ملف الكهرباء بعد تحويله من صيغة DWG، ورُوجع التسجيلان لقطةً بلقطة مع تفريغ الكلام. اعتُمد من الملف: أرقام اللوحات، وأسماء الدوائر، وعروض الحوامل، وتفاصيل المواسير والتأريض.</w:t>
      </w:r>
    </w:p>
    <w:p>
      <w:pPr>
        <w:bidi w:val="1"/>
        <w:spacing w:before="0" w:after="120" w:line="269" w:lineRule="auto"/>
        <w:jc w:val="right"/>
      </w:pPr>
      <w:r>
        <w:rPr>
          <w:rFonts w:ascii="Arial" w:hAnsi="Arial" w:cs="Arial" w:eastAsia="Arial"/>
          <w:b w:val="0"/>
          <w:i w:val="0"/>
          <w:color w:val="1E293B"/>
          <w:sz w:val="22"/>
        </w:rPr>
        <w:t>لا يُقاس من الفيديو قطر بالمليمتر، ولا منسوب 1.80 m المذكور شفهياً، ولا عدد السليفات عند غرفة المحول. ما لم يُقس في الموقع كُتب بوصفه ادّعاءً شفهياً أو تقديراً بصرياً.</w:t>
      </w:r>
    </w:p>
    <w:p>
      <w:pPr>
        <w:bidi w:val="1"/>
        <w:spacing w:before="0" w:after="40" w:line="269" w:lineRule="auto"/>
        <w:jc w:val="right"/>
      </w:pPr>
      <w:r>
        <w:rPr>
          <w:rFonts w:ascii="Arial" w:hAnsi="Arial" w:cs="Arial" w:eastAsia="Arial"/>
          <w:b w:val="0"/>
          <w:i w:val="0"/>
          <w:color w:val="1E293B"/>
          <w:sz w:val="22"/>
        </w:rPr>
        <w:t>عناوين الملف العربية بخط AutoCAD من نوع SHX، فلا تُقرأ نصاً. حُددت وظيفة كل لوحة من رقمها ومحتواها الإنجليزي. والمقصود بـ«فوق السطح» سطح البلاطة الجاري صبّها، لا سطح المبنى (المستوى N-RO).</w:t>
      </w:r>
    </w:p>
    <w:p>
      <w:pPr>
        <w:bidi w:val="1"/>
        <w:spacing w:before="240" w:after="80" w:line="269" w:lineRule="auto"/>
        <w:jc w:val="right"/>
        <w:pBdr>
          <w:bottom w:val="single" w:sz="8" w:space="1" w:color="0B2545"/>
        </w:pBdr>
      </w:pPr>
      <w:r>
        <w:rPr>
          <w:rFonts w:ascii="Arial" w:hAnsi="Arial" w:cs="Arial" w:eastAsia="Arial"/>
          <w:b/>
          <w:i w:val="0"/>
          <w:color w:val="0B2545"/>
          <w:sz w:val="26"/>
        </w:rPr>
        <w:t>2. اللوحات المعتمدة لدور التسوية الثاني</w:t>
      </w:r>
    </w:p>
    <w:p>
      <w:pPr>
        <w:bidi w:val="1"/>
        <w:spacing w:before="0" w:after="120" w:line="269" w:lineRule="auto"/>
        <w:jc w:val="right"/>
      </w:pPr>
      <w:r>
        <w:rPr>
          <w:rFonts w:ascii="Arial" w:hAnsi="Arial" w:cs="Arial" w:eastAsia="Arial"/>
          <w:b w:val="0"/>
          <w:i w:val="0"/>
          <w:color w:val="1E293B"/>
          <w:sz w:val="22"/>
        </w:rPr>
        <w:t>اللوحات مصفوفة من اليمين إلى اليسار. يُعرَف دور التسوية الثاني من عمود المستوى الذي تحمل دوائره الرمزين N-B2 وEM-B2، وينتهي عنوانه بالرقم 2.</w:t>
      </w:r>
    </w:p>
    <w:p>
      <w:pPr>
        <w:bidi w:val="1"/>
        <w:spacing w:before="0" w:after="80" w:line="269" w:lineRule="auto"/>
        <w:jc w:val="right"/>
      </w:pPr>
      <w:r>
        <w:rPr>
          <w:rFonts w:ascii="Arial" w:hAnsi="Arial" w:cs="Arial" w:eastAsia="Arial"/>
          <w:b w:val="0"/>
          <w:i w:val="0"/>
          <w:color w:val="475569"/>
          <w:sz w:val="20"/>
        </w:rPr>
        <w:t>تبقى الرموز الإنجليزية كما وردت في المخطط: N-B2 المستوى العادي، EM-B2 مستوى الطوارئ، MDP لوحة التوزيع الرئيسة، EMDP لوحة الطوارئ، FCU وحدة الملف والمروحة، IP65 درجة الحماية، MDB لوحة التوزيع الرئيسة بحسب ادّعاء الموقع.</w:t>
      </w:r>
    </w:p>
    <w:tbl>
      <w:tblPr>
        <w:tblW w:type="dxa" w:w="10319"/>
        <w:jc w:val="center"/>
        <w:tblLayout w:type="fixed"/>
        <w:tblLook w:firstColumn="1" w:firstRow="1" w:lastColumn="0" w:lastRow="0" w:noHBand="0" w:noVBand="1" w:val="04A0"/>
        <w:bidiVisual w:val="1"/>
        <w:tblBorders>
          <w:top w:val="single" w:sz="4" w:space="0" w:color="D6D1C7"/>
          <w:left w:val="single" w:sz="4" w:space="0" w:color="D6D1C7"/>
          <w:bottom w:val="single" w:sz="4" w:space="0" w:color="D6D1C7"/>
          <w:right w:val="single" w:sz="4" w:space="0" w:color="D6D1C7"/>
          <w:insideH w:val="single" w:sz="4" w:space="0" w:color="D6D1C7"/>
          <w:insideV w:val="single" w:sz="4" w:space="0" w:color="D6D1C7"/>
        </w:tblBorders>
      </w:tblPr>
      <w:tblGrid>
        <w:gridCol w:w="1360"/>
        <w:gridCol w:w="2041"/>
        <w:gridCol w:w="6917"/>
      </w:tblGrid>
      <w:tr>
        <w:trPr>
          <w:tblHeader/>
        </w:trPr>
        <w:tc>
          <w:tcPr>
            <w:tcW w:type="dxa" w:w="1360"/>
            <w:shd w:val="clear" w:color="auto" w:fill="0B254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9"/>
              </w:rPr>
              <w:t>اللوحة</w:t>
            </w:r>
          </w:p>
        </w:tc>
        <w:tc>
          <w:tcPr>
            <w:tcW w:type="dxa" w:w="2041"/>
            <w:shd w:val="clear" w:color="auto" w:fill="0B254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9"/>
              </w:rPr>
              <w:t>النظام</w:t>
            </w:r>
          </w:p>
        </w:tc>
        <w:tc>
          <w:tcPr>
            <w:tcW w:type="dxa" w:w="6917"/>
            <w:shd w:val="clear" w:color="auto" w:fill="0B254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9"/>
              </w:rPr>
              <w:t>المحتوى المعتمد الظاهر على اللوحة</w:t>
            </w:r>
          </w:p>
        </w:tc>
      </w:tr>
      <w:tr>
        <w:tc>
          <w:tcPr>
            <w:tcW w:type="dxa" w:w="1360"/>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1E293B"/>
                <w:sz w:val="18"/>
              </w:rPr>
              <w:t>ELE-03</w:t>
            </w:r>
          </w:p>
        </w:tc>
        <w:tc>
          <w:tcPr>
            <w:tcW w:type="dxa" w:w="2041"/>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الإنارة</w:t>
            </w:r>
          </w:p>
        </w:tc>
        <w:tc>
          <w:tcPr>
            <w:tcW w:type="dxa" w:w="6917"/>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الدائرتان 1 و2 لكل من N-B2 وEM-B2. وحدات LED مقاس 60×60، وسبوت، ومفاتيح، وهبوط TO UP / TO DOWN، وربط مع MDP وEMDP.</w:t>
            </w:r>
          </w:p>
        </w:tc>
      </w:tr>
      <w:tr>
        <w:tc>
          <w:tcPr>
            <w:tcW w:type="dxa" w:w="1360"/>
            <w:tcMar>
              <w:top w:w="60" w:type="dxa"/>
              <w:left w:w="60" w:type="dxa"/>
              <w:bottom w:w="60" w:type="dxa"/>
              <w:right w:w="60" w:type="dxa"/>
            </w:tcMar>
            <w:vAlign w:val="center"/>
            <w:shd w:val="clear" w:color="auto" w:fill="F7F4EE"/>
          </w:tcPr>
          <w:p>
            <w:pPr>
              <w:bidi w:val="1"/>
              <w:spacing w:before="0" w:after="0" w:line="269" w:lineRule="auto"/>
              <w:jc w:val="center"/>
            </w:pPr>
            <w:r>
              <w:rPr>
                <w:rFonts w:ascii="Arial" w:hAnsi="Arial" w:cs="Arial" w:eastAsia="Arial"/>
                <w:b/>
                <w:i w:val="0"/>
                <w:color w:val="1E293B"/>
                <w:sz w:val="18"/>
              </w:rPr>
              <w:t>ELE-09</w:t>
            </w:r>
          </w:p>
        </w:tc>
        <w:tc>
          <w:tcPr>
            <w:tcW w:type="dxa" w:w="2041"/>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المآخذ</w:t>
            </w:r>
          </w:p>
        </w:tc>
        <w:tc>
          <w:tcPr>
            <w:tcW w:type="dxa" w:w="6917"/>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الدوائر 3 إلى 6 لمستوى N-B2، و3 و4 لمستوى EM-B2. مآخذ 15 A و20 A، ومآخذ طقس، وغسالة، وغسالة صحون، ومأخذ حلاقة، ومآخذ تكييف، وربط لوحتي SH1-DP وSH2-DP، ومخرج أرضي.</w:t>
            </w:r>
          </w:p>
        </w:tc>
      </w:tr>
      <w:tr>
        <w:tc>
          <w:tcPr>
            <w:tcW w:type="dxa" w:w="1360"/>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1E293B"/>
                <w:sz w:val="18"/>
              </w:rPr>
              <w:t>ELE-15</w:t>
            </w:r>
          </w:p>
        </w:tc>
        <w:tc>
          <w:tcPr>
            <w:tcW w:type="dxa" w:w="2041"/>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التغذية الميكانيكية</w:t>
            </w:r>
          </w:p>
        </w:tc>
        <w:tc>
          <w:tcPr>
            <w:tcW w:type="dxa" w:w="6917"/>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وحدات FCU بقدرات 1 و1.5 و2 و4 و5 طن مع ثرموستات، ومفاتيح فصل IP65. اللوحة تغذية كهربائية، وليست مواسير فريون أو صرفاً.</w:t>
            </w:r>
          </w:p>
        </w:tc>
      </w:tr>
      <w:tr>
        <w:tc>
          <w:tcPr>
            <w:tcW w:type="dxa" w:w="1360"/>
            <w:tcMar>
              <w:top w:w="60" w:type="dxa"/>
              <w:left w:w="60" w:type="dxa"/>
              <w:bottom w:w="60" w:type="dxa"/>
              <w:right w:w="60" w:type="dxa"/>
            </w:tcMar>
            <w:vAlign w:val="center"/>
            <w:shd w:val="clear" w:color="auto" w:fill="F7F4EE"/>
          </w:tcPr>
          <w:p>
            <w:pPr>
              <w:bidi w:val="1"/>
              <w:spacing w:before="0" w:after="0" w:line="269" w:lineRule="auto"/>
              <w:jc w:val="center"/>
            </w:pPr>
            <w:r>
              <w:rPr>
                <w:rFonts w:ascii="Arial" w:hAnsi="Arial" w:cs="Arial" w:eastAsia="Arial"/>
                <w:b/>
                <w:i w:val="0"/>
                <w:color w:val="1E293B"/>
                <w:sz w:val="18"/>
              </w:rPr>
              <w:t>ELE-21</w:t>
            </w:r>
          </w:p>
        </w:tc>
        <w:tc>
          <w:tcPr>
            <w:tcW w:type="dxa" w:w="2041"/>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مسار الكابلات</w:t>
            </w:r>
          </w:p>
        </w:tc>
        <w:tc>
          <w:tcPr>
            <w:tcW w:type="dxa" w:w="6917"/>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حامل جهد منخفض عرضه 1000 mm، وسلم تيار خفيف عرضه 200 mm. المساران مستقلان ومكشوفان، وليسا حزمةً مدفونة.</w:t>
            </w:r>
          </w:p>
        </w:tc>
      </w:tr>
      <w:tr>
        <w:tc>
          <w:tcPr>
            <w:tcW w:type="dxa" w:w="1360"/>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1E293B"/>
                <w:sz w:val="18"/>
              </w:rPr>
              <w:t>ELE-27</w:t>
            </w:r>
          </w:p>
        </w:tc>
        <w:tc>
          <w:tcPr>
            <w:tcW w:type="dxa" w:w="2041"/>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التيار الخفيف</w:t>
            </w:r>
          </w:p>
        </w:tc>
        <w:tc>
          <w:tcPr>
            <w:tcW w:type="dxa" w:w="6917"/>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خزائن CCTV-B2 وWIFI-B2 وTTC-B2، ومسارات إليها مفصولة عن القوى. الرمز WIFI-B2 كما هو في اللوحة.</w:t>
            </w:r>
          </w:p>
        </w:tc>
      </w:tr>
    </w:tbl>
    <w:p>
      <w:pPr>
        <w:bidi w:val="1"/>
        <w:spacing w:before="0" w:after="40" w:line="269" w:lineRule="auto"/>
        <w:jc w:val="right"/>
      </w:pPr>
    </w:p>
    <w:p>
      <w:pPr>
        <w:bidi w:val="1"/>
        <w:spacing w:before="0" w:after="40" w:line="269" w:lineRule="auto"/>
        <w:jc w:val="right"/>
      </w:pPr>
      <w:r>
        <w:rPr>
          <w:rFonts w:ascii="Arial" w:hAnsi="Arial" w:cs="Arial" w:eastAsia="Arial"/>
          <w:b w:val="0"/>
          <w:i w:val="0"/>
          <w:color w:val="1E293B"/>
          <w:sz w:val="20"/>
        </w:rPr>
        <w:t>تنبيه المستوى: أسفل هذا الدور المستوى N-B، ولوحاته ELE-01 وELE-07 وELE-13 وELE-19 وELE-25، وفيه مضخات الحريق والتغذية والرفع. إن كان الصب لذلك المستوى تُعاد المطابقة على تلك اللوحات. سطح المبنى هو N-RO، ولا يُخلط مع هذا الصب.</w:t>
      </w:r>
    </w:p>
    <w:p>
      <w:pPr>
        <w:bidi w:val="1"/>
        <w:spacing w:before="240" w:after="80" w:line="269" w:lineRule="auto"/>
        <w:jc w:val="right"/>
        <w:pBdr>
          <w:bottom w:val="single" w:sz="8" w:space="1" w:color="0B2545"/>
        </w:pBdr>
      </w:pPr>
      <w:r>
        <w:rPr>
          <w:rFonts w:ascii="Arial" w:hAnsi="Arial" w:cs="Arial" w:eastAsia="Arial"/>
          <w:b/>
          <w:i w:val="0"/>
          <w:color w:val="0B2545"/>
          <w:sz w:val="26"/>
        </w:rPr>
        <w:t>3. ما يظهر في التنفيذ</w:t>
      </w:r>
    </w:p>
    <w:p>
      <w:pPr>
        <w:bidi w:val="1"/>
        <w:spacing w:before="0" w:after="40" w:line="269" w:lineRule="auto"/>
        <w:jc w:val="right"/>
      </w:pPr>
      <w:r>
        <w:rPr>
          <w:rFonts w:ascii="Arial" w:hAnsi="Arial" w:cs="Arial" w:eastAsia="Arial"/>
          <w:b/>
          <w:i w:val="0"/>
          <w:color w:val="0B2545"/>
          <w:sz w:val="22"/>
        </w:rPr>
        <w:t>الفيديو الأول — 35 ثانية — باكية ملاصقة لمبنى قائم</w:t>
      </w:r>
    </w:p>
    <w:p>
      <w:pPr>
        <w:bidi w:val="1"/>
        <w:spacing w:before="0" w:after="40" w:line="269" w:lineRule="auto"/>
        <w:ind w:left="113"/>
        <w:jc w:val="right"/>
      </w:pPr>
      <w:r>
        <w:rPr>
          <w:rFonts w:ascii="Arial" w:hAnsi="Arial" w:cs="Arial" w:eastAsia="Arial"/>
          <w:b w:val="0"/>
          <w:i w:val="0"/>
          <w:color w:val="1E293B"/>
          <w:sz w:val="22"/>
        </w:rPr>
        <w:t>•  بلاطة معلقة على شدة خشبية، والرقة العلوية مقفلة.</w:t>
      </w:r>
    </w:p>
    <w:p>
      <w:pPr>
        <w:bidi w:val="1"/>
        <w:spacing w:before="0" w:after="40" w:line="269" w:lineRule="auto"/>
        <w:ind w:left="113"/>
        <w:jc w:val="right"/>
      </w:pPr>
      <w:r>
        <w:rPr>
          <w:rFonts w:ascii="Arial" w:hAnsi="Arial" w:cs="Arial" w:eastAsia="Arial"/>
          <w:b w:val="0"/>
          <w:i w:val="0"/>
          <w:color w:val="1E293B"/>
          <w:sz w:val="22"/>
        </w:rPr>
        <w:t>•  إقرار الموقع: المنسوب كان ردماً وليس له تأسيس في المخطط، ومع ذلك مُدّت فيه تمديدات للمخزن. وذُكر أن ارتفاع السقف 1.80 m.</w:t>
      </w:r>
    </w:p>
    <w:p>
      <w:pPr>
        <w:bidi w:val="1"/>
        <w:spacing w:before="0" w:after="40" w:line="269" w:lineRule="auto"/>
        <w:ind w:left="113"/>
        <w:jc w:val="right"/>
      </w:pPr>
      <w:r>
        <w:rPr>
          <w:rFonts w:ascii="Arial" w:hAnsi="Arial" w:cs="Arial" w:eastAsia="Arial"/>
          <w:b w:val="0"/>
          <w:i w:val="0"/>
          <w:color w:val="1E293B"/>
          <w:sz w:val="22"/>
        </w:rPr>
        <w:t>•  أُنجزت الرقة العلوية قبل مباشرة الكهربائي. المواسير السوداء متخللة الشبكة، بلا علب ولا ترقيم.</w:t>
      </w:r>
    </w:p>
    <w:p>
      <w:pPr>
        <w:bidi w:val="1"/>
        <w:spacing w:before="80" w:after="40" w:line="269" w:lineRule="auto"/>
        <w:jc w:val="right"/>
      </w:pPr>
      <w:r>
        <w:rPr>
          <w:rFonts w:ascii="Arial" w:hAnsi="Arial" w:cs="Arial" w:eastAsia="Arial"/>
          <w:b/>
          <w:i w:val="0"/>
          <w:color w:val="0B2545"/>
          <w:sz w:val="22"/>
        </w:rPr>
        <w:t>الفيديو الثاني — 114 ثانية — مسطح البلاطة</w:t>
      </w:r>
    </w:p>
    <w:p>
      <w:pPr>
        <w:bidi w:val="1"/>
        <w:spacing w:before="0" w:after="40" w:line="269" w:lineRule="auto"/>
        <w:ind w:left="113"/>
        <w:jc w:val="right"/>
      </w:pPr>
      <w:r>
        <w:rPr>
          <w:rFonts w:ascii="Arial" w:hAnsi="Arial" w:cs="Arial" w:eastAsia="Arial"/>
          <w:b w:val="0"/>
          <w:i w:val="0"/>
          <w:color w:val="1E293B"/>
          <w:sz w:val="22"/>
        </w:rPr>
        <w:t>•  ادّعاء شفهي بست سليفات قطر 4 in من غرفة المحول إلى MDB، وبأن الأبيض للقوى والأحمر للتيار الخفيف، وبأن مواسير التكييف مكتملة.</w:t>
      </w:r>
    </w:p>
    <w:p>
      <w:pPr>
        <w:bidi w:val="1"/>
        <w:spacing w:before="0" w:after="40" w:line="269" w:lineRule="auto"/>
        <w:ind w:left="113"/>
        <w:jc w:val="right"/>
      </w:pPr>
      <w:r>
        <w:rPr>
          <w:rFonts w:ascii="Arial" w:hAnsi="Arial" w:cs="Arial" w:eastAsia="Arial"/>
          <w:b w:val="0"/>
          <w:i w:val="0"/>
          <w:color w:val="1E293B"/>
          <w:sz w:val="22"/>
        </w:rPr>
        <w:t>•  الواقع: حزمة كبيرة فوق التسليح وعند قفص كمرة، بثني حاد وأطراف مفتوحة وملامسة للخشب.</w:t>
      </w:r>
    </w:p>
    <w:p>
      <w:pPr>
        <w:bidi w:val="1"/>
        <w:spacing w:before="0" w:after="40" w:line="269" w:lineRule="auto"/>
        <w:ind w:left="113"/>
        <w:jc w:val="right"/>
      </w:pPr>
      <w:r>
        <w:rPr>
          <w:rFonts w:ascii="Arial" w:hAnsi="Arial" w:cs="Arial" w:eastAsia="Arial"/>
          <w:b w:val="0"/>
          <w:i w:val="0"/>
          <w:color w:val="1E293B"/>
          <w:sz w:val="22"/>
        </w:rPr>
        <w:t>•  اللون الأحمر بخاخ على الحديد، لا وسم على الماسورة. وفي مساحات واسعة لا شبكة إنارة، ولا حامل 1000 mm، ولا سلم 200 mm.</w:t>
      </w:r>
    </w:p>
    <w:p>
      <w:pPr>
        <w:bidi w:val="1"/>
        <w:spacing w:before="240" w:after="80" w:line="269" w:lineRule="auto"/>
        <w:jc w:val="right"/>
        <w:pBdr>
          <w:bottom w:val="single" w:sz="8" w:space="1" w:color="0B2545"/>
        </w:pBdr>
      </w:pPr>
      <w:r>
        <w:rPr>
          <w:rFonts w:ascii="Arial" w:hAnsi="Arial" w:cs="Arial" w:eastAsia="Arial"/>
          <w:b/>
          <w:i w:val="0"/>
          <w:color w:val="0B2545"/>
          <w:sz w:val="26"/>
        </w:rPr>
        <w:t>4. صور التنفيذ — 20 أكتوبر 2026</w:t>
      </w:r>
    </w:p>
    <w:p>
      <w:pPr>
        <w:bidi w:val="1"/>
        <w:spacing w:before="0" w:after="80" w:line="269" w:lineRule="auto"/>
        <w:jc w:val="right"/>
      </w:pPr>
      <w:r>
        <w:rPr>
          <w:rFonts w:ascii="Arial" w:hAnsi="Arial" w:cs="Arial" w:eastAsia="Arial"/>
          <w:b w:val="0"/>
          <w:i w:val="0"/>
          <w:color w:val="475569"/>
          <w:sz w:val="20"/>
        </w:rPr>
        <w:t>الصور للتدليل على نمط التنفيذ، لا للقياس. ولا تُغني عن محضر موقّع في الموقع، ولا يُؤخذ منها قطر بالمليمتر.</w:t>
      </w:r>
    </w:p>
    <w:tbl>
      <w:tblPr>
        <w:tblW w:type="dxa" w:w="10319"/>
        <w:jc w:val="center"/>
        <w:tblLayout w:type="fixed"/>
        <w:tblLook w:firstColumn="1" w:firstRow="1" w:lastColumn="0" w:lastRow="0" w:noHBand="0" w:noVBand="1" w:val="04A0"/>
        <w:bidiVisual w:val="1"/>
        <w:tblBorders>
          <w:top w:val="single" w:sz="4" w:space="0" w:color="D6D1C7"/>
          <w:left w:val="single" w:sz="4" w:space="0" w:color="D6D1C7"/>
          <w:bottom w:val="single" w:sz="4" w:space="0" w:color="D6D1C7"/>
          <w:right w:val="single" w:sz="4" w:space="0" w:color="D6D1C7"/>
          <w:insideH w:val="single" w:sz="4" w:space="0" w:color="D6D1C7"/>
          <w:insideV w:val="single" w:sz="4" w:space="0" w:color="D6D1C7"/>
        </w:tblBorders>
      </w:tblPr>
      <w:tblGrid>
        <w:gridCol w:w="5159"/>
        <w:gridCol w:w="5159"/>
      </w:tblGrid>
      <w:tr>
        <w:tc>
          <w:tcPr>
            <w:tcW w:type="dxa" w:w="5159"/>
            <w:shd w:val="clear" w:color="auto" w:fill="FFFFFF"/>
            <w:tcMar>
              <w:top w:w="50" w:type="dxa"/>
              <w:left w:w="50" w:type="dxa"/>
              <w:bottom w:w="50" w:type="dxa"/>
              <w:right w:w="50" w:type="dxa"/>
            </w:tcMar>
          </w:tcPr>
          <w:p>
            <w:pPr>
              <w:spacing w:after="40" w:before="40"/>
              <w:jc w:val="center"/>
            </w:pPr>
            <w:r>
              <w:rPr>
                <w:rFonts w:ascii="Arial" w:hAnsi="Arial" w:cs="Arial" w:eastAsia="Arial"/>
                <w:b w:val="0"/>
                <w:i w:val="0"/>
                <w:color w:val="1E293B"/>
                <w:sz w:val="16"/>
              </w:rPr>
              <w:drawing>
                <wp:inline xmlns:a="http://schemas.openxmlformats.org/drawingml/2006/main" xmlns:pic="http://schemas.openxmlformats.org/drawingml/2006/picture">
                  <wp:extent cx="2952000" cy="3399273"/>
                  <wp:docPr id="1" name="Picture 1"/>
                  <wp:cNvGraphicFramePr>
                    <a:graphicFrameLocks noChangeAspect="1"/>
                  </wp:cNvGraphicFramePr>
                  <a:graphic>
                    <a:graphicData uri="http://schemas.openxmlformats.org/drawingml/2006/picture">
                      <pic:pic>
                        <pic:nvPicPr>
                          <pic:cNvPr id="0" name="image1.jpg"/>
                          <pic:cNvPicPr/>
                        </pic:nvPicPr>
                        <pic:blipFill>
                          <a:blip r:embed="rId11"/>
                          <a:stretch>
                            <a:fillRect/>
                          </a:stretch>
                        </pic:blipFill>
                        <pic:spPr>
                          <a:xfrm>
                            <a:off x="0" y="0"/>
                            <a:ext cx="2952000" cy="3399273"/>
                          </a:xfrm>
                          <a:prstGeom prst="rect"/>
                        </pic:spPr>
                      </pic:pic>
                    </a:graphicData>
                  </a:graphic>
                </wp:inline>
              </w:drawing>
            </w:r>
          </w:p>
          <w:p>
            <w:pPr>
              <w:bidi w:val="1"/>
              <w:spacing w:before="0" w:after="40" w:line="269" w:lineRule="auto"/>
              <w:jc w:val="right"/>
            </w:pPr>
            <w:r>
              <w:rPr>
                <w:rFonts w:ascii="Arial" w:hAnsi="Arial" w:cs="Arial" w:eastAsia="Arial"/>
                <w:b w:val="0"/>
                <w:i w:val="0"/>
                <w:color w:val="1E293B"/>
                <w:sz w:val="16"/>
              </w:rPr>
              <w:t>1 — حزمة مواسير فوق التسليح العلوي، بثني حاد وأطراف مفتوحة، بدلاً من حامل 1000 mm وسلم 200 mm وفق ELE-21.</w:t>
            </w:r>
          </w:p>
        </w:tc>
        <w:tc>
          <w:tcPr>
            <w:tcW w:type="dxa" w:w="5159"/>
            <w:shd w:val="clear" w:color="auto" w:fill="FFFFFF"/>
            <w:tcMar>
              <w:top w:w="50" w:type="dxa"/>
              <w:left w:w="50" w:type="dxa"/>
              <w:bottom w:w="50" w:type="dxa"/>
              <w:right w:w="50" w:type="dxa"/>
            </w:tcMar>
          </w:tcPr>
          <w:p>
            <w:pPr>
              <w:spacing w:after="40" w:before="40"/>
              <w:jc w:val="center"/>
            </w:pPr>
            <w:r>
              <w:rPr>
                <w:rFonts w:ascii="Arial" w:hAnsi="Arial" w:cs="Arial" w:eastAsia="Arial"/>
                <w:b w:val="0"/>
                <w:i w:val="0"/>
                <w:color w:val="1E293B"/>
                <w:sz w:val="16"/>
              </w:rPr>
              <w:drawing>
                <wp:inline xmlns:a="http://schemas.openxmlformats.org/drawingml/2006/main" xmlns:pic="http://schemas.openxmlformats.org/drawingml/2006/picture">
                  <wp:extent cx="2952000" cy="3084179"/>
                  <wp:docPr id="2" name="Picture 2"/>
                  <wp:cNvGraphicFramePr>
                    <a:graphicFrameLocks noChangeAspect="1"/>
                  </wp:cNvGraphicFramePr>
                  <a:graphic>
                    <a:graphicData uri="http://schemas.openxmlformats.org/drawingml/2006/picture">
                      <pic:pic>
                        <pic:nvPicPr>
                          <pic:cNvPr id="0" name="image2.jpg"/>
                          <pic:cNvPicPr/>
                        </pic:nvPicPr>
                        <pic:blipFill>
                          <a:blip r:embed="rId12"/>
                          <a:stretch>
                            <a:fillRect/>
                          </a:stretch>
                        </pic:blipFill>
                        <pic:spPr>
                          <a:xfrm>
                            <a:off x="0" y="0"/>
                            <a:ext cx="2952000" cy="3084179"/>
                          </a:xfrm>
                          <a:prstGeom prst="rect"/>
                        </pic:spPr>
                      </pic:pic>
                    </a:graphicData>
                  </a:graphic>
                </wp:inline>
              </w:drawing>
            </w:r>
          </w:p>
          <w:p>
            <w:pPr>
              <w:bidi w:val="1"/>
              <w:spacing w:before="0" w:after="40" w:line="269" w:lineRule="auto"/>
              <w:jc w:val="right"/>
            </w:pPr>
            <w:r>
              <w:rPr>
                <w:rFonts w:ascii="Arial" w:hAnsi="Arial" w:cs="Arial" w:eastAsia="Arial"/>
                <w:b w:val="0"/>
                <w:i w:val="0"/>
                <w:color w:val="1E293B"/>
                <w:sz w:val="16"/>
              </w:rPr>
              <w:t>2 — الرقة العلوية مقفلة، والمواسير متخللة الشبكة بعد قفلها. الموقع أقرّ أن المنسوب ردم وليس مبيناً في المخطط.</w:t>
            </w:r>
          </w:p>
        </w:tc>
      </w:tr>
      <w:tr>
        <w:tc>
          <w:tcPr>
            <w:tcW w:type="dxa" w:w="5159"/>
            <w:shd w:val="clear" w:color="auto" w:fill="FFFFFF"/>
            <w:tcMar>
              <w:top w:w="50" w:type="dxa"/>
              <w:left w:w="50" w:type="dxa"/>
              <w:bottom w:w="50" w:type="dxa"/>
              <w:right w:w="50" w:type="dxa"/>
            </w:tcMar>
          </w:tcPr>
          <w:p>
            <w:pPr>
              <w:spacing w:after="40" w:before="40"/>
              <w:jc w:val="center"/>
            </w:pPr>
            <w:r>
              <w:rPr>
                <w:rFonts w:ascii="Arial" w:hAnsi="Arial" w:cs="Arial" w:eastAsia="Arial"/>
                <w:b w:val="0"/>
                <w:i w:val="0"/>
                <w:color w:val="1E293B"/>
                <w:sz w:val="16"/>
              </w:rPr>
              <w:drawing>
                <wp:inline xmlns:a="http://schemas.openxmlformats.org/drawingml/2006/main" xmlns:pic="http://schemas.openxmlformats.org/drawingml/2006/picture">
                  <wp:extent cx="2952000" cy="2952000"/>
                  <wp:docPr id="3" name="Picture 3"/>
                  <wp:cNvGraphicFramePr>
                    <a:graphicFrameLocks noChangeAspect="1"/>
                  </wp:cNvGraphicFramePr>
                  <a:graphic>
                    <a:graphicData uri="http://schemas.openxmlformats.org/drawingml/2006/picture">
                      <pic:pic>
                        <pic:nvPicPr>
                          <pic:cNvPr id="0" name="image3.jpg"/>
                          <pic:cNvPicPr/>
                        </pic:nvPicPr>
                        <pic:blipFill>
                          <a:blip r:embed="rId13"/>
                          <a:stretch>
                            <a:fillRect/>
                          </a:stretch>
                        </pic:blipFill>
                        <pic:spPr>
                          <a:xfrm>
                            <a:off x="0" y="0"/>
                            <a:ext cx="2952000" cy="2952000"/>
                          </a:xfrm>
                          <a:prstGeom prst="rect"/>
                        </pic:spPr>
                      </pic:pic>
                    </a:graphicData>
                  </a:graphic>
                </wp:inline>
              </w:drawing>
            </w:r>
          </w:p>
          <w:p>
            <w:pPr>
              <w:bidi w:val="1"/>
              <w:spacing w:before="0" w:after="40" w:line="269" w:lineRule="auto"/>
              <w:jc w:val="right"/>
            </w:pPr>
            <w:r>
              <w:rPr>
                <w:rFonts w:ascii="Arial" w:hAnsi="Arial" w:cs="Arial" w:eastAsia="Arial"/>
                <w:b w:val="0"/>
                <w:i w:val="0"/>
                <w:color w:val="1E293B"/>
                <w:sz w:val="16"/>
              </w:rPr>
              <w:t>3 — مسطح واسع لا يظهر فيه إلا مسار أو مساران، بلا شبكة إنارة ELE-03 وبلا حوامل. ويظهر السير فوق التمديد.</w:t>
            </w:r>
          </w:p>
        </w:tc>
        <w:tc>
          <w:tcPr>
            <w:tcW w:type="dxa" w:w="5159"/>
            <w:shd w:val="clear" w:color="auto" w:fill="FFFFFF"/>
            <w:tcMar>
              <w:top w:w="50" w:type="dxa"/>
              <w:left w:w="50" w:type="dxa"/>
              <w:bottom w:w="50" w:type="dxa"/>
              <w:right w:w="50" w:type="dxa"/>
            </w:tcMar>
          </w:tcPr>
          <w:p>
            <w:pPr>
              <w:spacing w:after="40" w:before="40"/>
              <w:jc w:val="center"/>
            </w:pPr>
            <w:r>
              <w:rPr>
                <w:rFonts w:ascii="Arial" w:hAnsi="Arial" w:cs="Arial" w:eastAsia="Arial"/>
                <w:b w:val="0"/>
                <w:i w:val="0"/>
                <w:color w:val="1E293B"/>
                <w:sz w:val="16"/>
              </w:rPr>
              <w:drawing>
                <wp:inline xmlns:a="http://schemas.openxmlformats.org/drawingml/2006/main" xmlns:pic="http://schemas.openxmlformats.org/drawingml/2006/picture">
                  <wp:extent cx="2952000" cy="3220364"/>
                  <wp:docPr id="4" name="Picture 4"/>
                  <wp:cNvGraphicFramePr>
                    <a:graphicFrameLocks noChangeAspect="1"/>
                  </wp:cNvGraphicFramePr>
                  <a:graphic>
                    <a:graphicData uri="http://schemas.openxmlformats.org/drawingml/2006/picture">
                      <pic:pic>
                        <pic:nvPicPr>
                          <pic:cNvPr id="0" name="image4.jpg"/>
                          <pic:cNvPicPr/>
                        </pic:nvPicPr>
                        <pic:blipFill>
                          <a:blip r:embed="rId14"/>
                          <a:stretch>
                            <a:fillRect/>
                          </a:stretch>
                        </pic:blipFill>
                        <pic:spPr>
                          <a:xfrm>
                            <a:off x="0" y="0"/>
                            <a:ext cx="2952000" cy="3220364"/>
                          </a:xfrm>
                          <a:prstGeom prst="rect"/>
                        </pic:spPr>
                      </pic:pic>
                    </a:graphicData>
                  </a:graphic>
                </wp:inline>
              </w:drawing>
            </w:r>
          </w:p>
          <w:p>
            <w:pPr>
              <w:bidi w:val="1"/>
              <w:spacing w:before="0" w:after="40" w:line="269" w:lineRule="auto"/>
              <w:jc w:val="right"/>
            </w:pPr>
            <w:r>
              <w:rPr>
                <w:rFonts w:ascii="Arial" w:hAnsi="Arial" w:cs="Arial" w:eastAsia="Arial"/>
                <w:b w:val="0"/>
                <w:i w:val="0"/>
                <w:color w:val="1E293B"/>
                <w:sz w:val="16"/>
              </w:rPr>
              <w:t>4 — بروزات بيضاء غير مرقمة داخل قفص كمرة. ادّعاء «ست سليفات قطر 4 in» غير مقيس من الصورة.</w:t>
            </w:r>
          </w:p>
        </w:tc>
      </w:tr>
    </w:tbl>
    <w:p>
      <w:pPr>
        <w:bidi w:val="1"/>
        <w:spacing w:before="0" w:after="40" w:line="269" w:lineRule="auto"/>
        <w:jc w:val="right"/>
      </w:pPr>
    </w:p>
    <w:p>
      <w:pPr>
        <w:bidi w:val="1"/>
        <w:spacing w:before="240" w:after="80" w:line="269" w:lineRule="auto"/>
        <w:jc w:val="right"/>
        <w:pBdr>
          <w:bottom w:val="single" w:sz="8" w:space="1" w:color="0B2545"/>
        </w:pBdr>
      </w:pPr>
      <w:r>
        <w:rPr>
          <w:rFonts w:ascii="Arial" w:hAnsi="Arial" w:cs="Arial" w:eastAsia="Arial"/>
          <w:b/>
          <w:i w:val="0"/>
          <w:color w:val="0B2545"/>
          <w:sz w:val="26"/>
        </w:rPr>
        <w:t>5. المطابقة مع أنظمة دور التسوية الثاني</w:t>
      </w:r>
    </w:p>
    <w:p>
      <w:pPr>
        <w:bidi w:val="1"/>
        <w:spacing w:before="0" w:after="80" w:line="269" w:lineRule="auto"/>
        <w:jc w:val="right"/>
      </w:pPr>
      <w:r>
        <w:rPr>
          <w:rFonts w:ascii="Arial" w:hAnsi="Arial" w:cs="Arial" w:eastAsia="Arial"/>
          <w:b w:val="0"/>
          <w:i w:val="0"/>
          <w:color w:val="1E293B"/>
          <w:sz w:val="22"/>
        </w:rPr>
        <w:t>الحكم مبني على الغياب المنتظم وعلى التعارض مع مبدأ اللوحة، ولا يُقلَب إلى مطابقة بشرح شفهي.</w:t>
      </w:r>
    </w:p>
    <w:tbl>
      <w:tblPr>
        <w:tblW w:type="dxa" w:w="10319"/>
        <w:jc w:val="center"/>
        <w:tblLayout w:type="fixed"/>
        <w:tblLook w:firstColumn="1" w:firstRow="1" w:lastColumn="0" w:lastRow="0" w:noHBand="0" w:noVBand="1" w:val="04A0"/>
        <w:bidiVisual w:val="1"/>
        <w:tblBorders>
          <w:top w:val="single" w:sz="4" w:space="0" w:color="D6D1C7"/>
          <w:left w:val="single" w:sz="4" w:space="0" w:color="D6D1C7"/>
          <w:bottom w:val="single" w:sz="4" w:space="0" w:color="D6D1C7"/>
          <w:right w:val="single" w:sz="4" w:space="0" w:color="D6D1C7"/>
          <w:insideH w:val="single" w:sz="4" w:space="0" w:color="D6D1C7"/>
          <w:insideV w:val="single" w:sz="4" w:space="0" w:color="D6D1C7"/>
        </w:tblBorders>
      </w:tblPr>
      <w:tblGrid>
        <w:gridCol w:w="1587"/>
        <w:gridCol w:w="3288"/>
        <w:gridCol w:w="3855"/>
        <w:gridCol w:w="1587"/>
      </w:tblGrid>
      <w:tr>
        <w:trPr>
          <w:tblHeader/>
        </w:trPr>
        <w:tc>
          <w:tcPr>
            <w:tcW w:type="dxa" w:w="1587"/>
            <w:shd w:val="clear" w:color="auto" w:fill="0B254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9"/>
              </w:rPr>
              <w:t>النظام</w:t>
            </w:r>
          </w:p>
        </w:tc>
        <w:tc>
          <w:tcPr>
            <w:tcW w:type="dxa" w:w="3288"/>
            <w:shd w:val="clear" w:color="auto" w:fill="0B254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9"/>
              </w:rPr>
              <w:t>ما تلزمه اللوحة</w:t>
            </w:r>
          </w:p>
        </w:tc>
        <w:tc>
          <w:tcPr>
            <w:tcW w:type="dxa" w:w="3855"/>
            <w:shd w:val="clear" w:color="auto" w:fill="0B254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9"/>
              </w:rPr>
              <w:t>ما يظهر في الفيديو</w:t>
            </w:r>
          </w:p>
        </w:tc>
        <w:tc>
          <w:tcPr>
            <w:tcW w:type="dxa" w:w="1587"/>
            <w:shd w:val="clear" w:color="auto" w:fill="0B254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9"/>
              </w:rPr>
              <w:t>الحكم</w:t>
            </w:r>
          </w:p>
        </w:tc>
      </w:tr>
      <w:tr>
        <w:tc>
          <w:tcPr>
            <w:tcW w:type="dxa" w:w="1587"/>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1E293B"/>
                <w:sz w:val="18"/>
              </w:rPr>
              <w:t>إنارة — ELE-03</w:t>
            </w:r>
          </w:p>
        </w:tc>
        <w:tc>
          <w:tcPr>
            <w:tcW w:type="dxa" w:w="3288"/>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مواسير 3/4 in إلى نقاط LED والمفاتيح، بدوائر عادية وطوارئ.</w:t>
            </w:r>
          </w:p>
        </w:tc>
        <w:tc>
          <w:tcPr>
            <w:tcW w:type="dxa" w:w="3855"/>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لا شبكة نقاط. التسلسل مقلوب: الرقة العلوية قبل التمديد.</w:t>
            </w:r>
          </w:p>
        </w:tc>
        <w:tc>
          <w:tcPr>
            <w:tcW w:type="dxa" w:w="1587"/>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r>
        <w:tc>
          <w:tcPr>
            <w:tcW w:type="dxa" w:w="1587"/>
            <w:tcMar>
              <w:top w:w="60" w:type="dxa"/>
              <w:left w:w="60" w:type="dxa"/>
              <w:bottom w:w="60" w:type="dxa"/>
              <w:right w:w="60" w:type="dxa"/>
            </w:tcMar>
            <w:vAlign w:val="center"/>
            <w:shd w:val="clear" w:color="auto" w:fill="F7F4EE"/>
          </w:tcPr>
          <w:p>
            <w:pPr>
              <w:bidi w:val="1"/>
              <w:spacing w:before="0" w:after="0" w:line="269" w:lineRule="auto"/>
              <w:jc w:val="center"/>
            </w:pPr>
            <w:r>
              <w:rPr>
                <w:rFonts w:ascii="Arial" w:hAnsi="Arial" w:cs="Arial" w:eastAsia="Arial"/>
                <w:b/>
                <w:i w:val="0"/>
                <w:color w:val="1E293B"/>
                <w:sz w:val="18"/>
              </w:rPr>
              <w:t>مآخذ — ELE-09</w:t>
            </w:r>
          </w:p>
        </w:tc>
        <w:tc>
          <w:tcPr>
            <w:tcW w:type="dxa" w:w="3288"/>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الدوائر 3 إلى 6، ومآخذ الأجهزة، وربط SH1-DP وSH2-DP، ومخرج أرضي.</w:t>
            </w:r>
          </w:p>
        </w:tc>
        <w:tc>
          <w:tcPr>
            <w:tcW w:type="dxa" w:w="3855"/>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لا مخارج مرقمة، ولا مخرج أرضية في موضعه.</w:t>
            </w:r>
          </w:p>
        </w:tc>
        <w:tc>
          <w:tcPr>
            <w:tcW w:type="dxa" w:w="1587"/>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r>
        <w:tc>
          <w:tcPr>
            <w:tcW w:type="dxa" w:w="1587"/>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1E293B"/>
                <w:sz w:val="18"/>
              </w:rPr>
              <w:t>ميكانيكا — ELE-15</w:t>
            </w:r>
          </w:p>
        </w:tc>
        <w:tc>
          <w:tcPr>
            <w:tcW w:type="dxa" w:w="3288"/>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تغذية كهربائية لكل FCU مع مفتاح فصل IP65. ليست مواسير فريون.</w:t>
            </w:r>
          </w:p>
        </w:tc>
        <w:tc>
          <w:tcPr>
            <w:tcW w:type="dxa" w:w="3855"/>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ادّعاء اكتمال مواسير التكييف، بلا نقاط ولا مفاتيح فصل.</w:t>
            </w:r>
          </w:p>
        </w:tc>
        <w:tc>
          <w:tcPr>
            <w:tcW w:type="dxa" w:w="1587"/>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r>
        <w:tc>
          <w:tcPr>
            <w:tcW w:type="dxa" w:w="1587"/>
            <w:tcMar>
              <w:top w:w="60" w:type="dxa"/>
              <w:left w:w="60" w:type="dxa"/>
              <w:bottom w:w="60" w:type="dxa"/>
              <w:right w:w="60" w:type="dxa"/>
            </w:tcMar>
            <w:vAlign w:val="center"/>
            <w:shd w:val="clear" w:color="auto" w:fill="F7F4EE"/>
          </w:tcPr>
          <w:p>
            <w:pPr>
              <w:bidi w:val="1"/>
              <w:spacing w:before="0" w:after="0" w:line="269" w:lineRule="auto"/>
              <w:jc w:val="center"/>
            </w:pPr>
            <w:r>
              <w:rPr>
                <w:rFonts w:ascii="Arial" w:hAnsi="Arial" w:cs="Arial" w:eastAsia="Arial"/>
                <w:b/>
                <w:i w:val="0"/>
                <w:color w:val="1E293B"/>
                <w:sz w:val="18"/>
              </w:rPr>
              <w:t>مسار — ELE-21</w:t>
            </w:r>
          </w:p>
        </w:tc>
        <w:tc>
          <w:tcPr>
            <w:tcW w:type="dxa" w:w="3288"/>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حامل 1000 mm وسلم 200 mm، مكشوفان ومنفصلان.</w:t>
            </w:r>
          </w:p>
        </w:tc>
        <w:tc>
          <w:tcPr>
            <w:tcW w:type="dxa" w:w="3855"/>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حزمة مدفونة فوق الحديد وداخل قفص الكمرة.</w:t>
            </w:r>
          </w:p>
        </w:tc>
        <w:tc>
          <w:tcPr>
            <w:tcW w:type="dxa" w:w="1587"/>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r>
        <w:tc>
          <w:tcPr>
            <w:tcW w:type="dxa" w:w="1587"/>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1E293B"/>
                <w:sz w:val="18"/>
              </w:rPr>
              <w:t>تيار خفيف — ELE-27</w:t>
            </w:r>
          </w:p>
        </w:tc>
        <w:tc>
          <w:tcPr>
            <w:tcW w:type="dxa" w:w="3288"/>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مسار مستقل إلى CCTV-B2 وWIFI-B2 وTTC-B2.</w:t>
            </w:r>
          </w:p>
        </w:tc>
        <w:tc>
          <w:tcPr>
            <w:tcW w:type="dxa" w:w="3855"/>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لا مسار مستقل. الأحمر مختلط مع القوى.</w:t>
            </w:r>
          </w:p>
        </w:tc>
        <w:tc>
          <w:tcPr>
            <w:tcW w:type="dxa" w:w="1587"/>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bl>
    <w:p>
      <w:pPr>
        <w:bidi w:val="1"/>
        <w:spacing w:before="0" w:after="40" w:line="269" w:lineRule="auto"/>
        <w:jc w:val="right"/>
      </w:pPr>
    </w:p>
    <w:p>
      <w:pPr>
        <w:bidi w:val="1"/>
        <w:spacing w:before="240" w:after="80" w:line="269" w:lineRule="auto"/>
        <w:jc w:val="right"/>
        <w:pBdr>
          <w:bottom w:val="single" w:sz="8" w:space="1" w:color="0B2545"/>
        </w:pBdr>
      </w:pPr>
      <w:r>
        <w:rPr>
          <w:rFonts w:ascii="Arial" w:hAnsi="Arial" w:cs="Arial" w:eastAsia="Arial"/>
          <w:b/>
          <w:i w:val="0"/>
          <w:color w:val="0B2545"/>
          <w:sz w:val="26"/>
        </w:rPr>
        <w:t>6. الملاحظات والإجراء قبل أي صب</w:t>
      </w:r>
    </w:p>
    <w:p>
      <w:pPr>
        <w:bidi w:val="1"/>
        <w:spacing w:before="0" w:after="80" w:line="269" w:lineRule="auto"/>
        <w:jc w:val="right"/>
      </w:pPr>
      <w:r>
        <w:rPr>
          <w:rFonts w:ascii="Arial" w:hAnsi="Arial" w:cs="Arial" w:eastAsia="Arial"/>
          <w:b w:val="0"/>
          <w:i w:val="0"/>
          <w:color w:val="1E293B"/>
          <w:sz w:val="20"/>
        </w:rPr>
        <w:t>مرجع القيد الإنشائي: الكود السعودي SBC 304 وفق ACI 318-19 البند 26.8.2. قطر الماسورة لا يتجاوز ثلث سمك البلاطة، والتباعد لا يقل عن ثلاثة أضعاف القطر.</w:t>
      </w:r>
    </w:p>
    <w:tbl>
      <w:tblPr>
        <w:tblW w:type="dxa" w:w="10319"/>
        <w:jc w:val="center"/>
        <w:tblLayout w:type="fixed"/>
        <w:tblLook w:firstColumn="1" w:firstRow="1" w:lastColumn="0" w:lastRow="0" w:noHBand="0" w:noVBand="1" w:val="04A0"/>
        <w:bidiVisual w:val="1"/>
        <w:tblBorders>
          <w:top w:val="single" w:sz="4" w:space="0" w:color="D6D1C7"/>
          <w:left w:val="single" w:sz="4" w:space="0" w:color="D6D1C7"/>
          <w:bottom w:val="single" w:sz="4" w:space="0" w:color="D6D1C7"/>
          <w:right w:val="single" w:sz="4" w:space="0" w:color="D6D1C7"/>
          <w:insideH w:val="single" w:sz="4" w:space="0" w:color="D6D1C7"/>
          <w:insideV w:val="single" w:sz="4" w:space="0" w:color="D6D1C7"/>
        </w:tblBorders>
      </w:tblPr>
      <w:tblGrid>
        <w:gridCol w:w="567"/>
        <w:gridCol w:w="3288"/>
        <w:gridCol w:w="907"/>
        <w:gridCol w:w="1814"/>
        <w:gridCol w:w="3742"/>
      </w:tblGrid>
      <w:tr>
        <w:trPr>
          <w:tblHeader/>
        </w:trPr>
        <w:tc>
          <w:tcPr>
            <w:tcW w:type="dxa" w:w="567"/>
            <w:shd w:val="clear" w:color="auto" w:fill="0B254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9"/>
              </w:rPr>
              <w:t>م</w:t>
            </w:r>
          </w:p>
        </w:tc>
        <w:tc>
          <w:tcPr>
            <w:tcW w:type="dxa" w:w="3288"/>
            <w:shd w:val="clear" w:color="auto" w:fill="0B254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9"/>
              </w:rPr>
              <w:t>الملاحظة</w:t>
            </w:r>
          </w:p>
        </w:tc>
        <w:tc>
          <w:tcPr>
            <w:tcW w:type="dxa" w:w="907"/>
            <w:shd w:val="clear" w:color="auto" w:fill="0B254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9"/>
              </w:rPr>
              <w:t>الدرجة</w:t>
            </w:r>
          </w:p>
        </w:tc>
        <w:tc>
          <w:tcPr>
            <w:tcW w:type="dxa" w:w="1814"/>
            <w:shd w:val="clear" w:color="auto" w:fill="0B254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9"/>
              </w:rPr>
              <w:t>المرجع</w:t>
            </w:r>
          </w:p>
        </w:tc>
        <w:tc>
          <w:tcPr>
            <w:tcW w:type="dxa" w:w="3742"/>
            <w:shd w:val="clear" w:color="auto" w:fill="0B254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9"/>
              </w:rPr>
              <w:t>الإجراء قبل الصب</w:t>
            </w:r>
          </w:p>
        </w:tc>
      </w:tr>
      <w:tr>
        <w:tc>
          <w:tcPr>
            <w:tcW w:type="dxa" w:w="567"/>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1E293B"/>
                <w:sz w:val="18"/>
              </w:rPr>
              <w:t>1</w:t>
            </w:r>
          </w:p>
        </w:tc>
        <w:tc>
          <w:tcPr>
            <w:tcW w:type="dxa" w:w="3288"/>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أُقفلت الرقة العلوية قبل التمديد.</w:t>
            </w:r>
          </w:p>
        </w:tc>
        <w:tc>
          <w:tcPr>
            <w:tcW w:type="dxa" w:w="907"/>
            <w:shd w:val="clear" w:color="auto" w:fill="991B1B"/>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8"/>
              </w:rPr>
              <w:t>حرجة</w:t>
            </w:r>
          </w:p>
        </w:tc>
        <w:tc>
          <w:tcPr>
            <w:tcW w:type="dxa" w:w="1814"/>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إقرار الموقع</w:t>
            </w:r>
          </w:p>
        </w:tc>
        <w:tc>
          <w:tcPr>
            <w:tcW w:type="dxa" w:w="3742"/>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رفع الرقة وإعادة التمديد، أو رفض المسطح.</w:t>
            </w:r>
          </w:p>
        </w:tc>
      </w:tr>
      <w:tr>
        <w:tc>
          <w:tcPr>
            <w:tcW w:type="dxa" w:w="567"/>
            <w:tcMar>
              <w:top w:w="60" w:type="dxa"/>
              <w:left w:w="60" w:type="dxa"/>
              <w:bottom w:w="60" w:type="dxa"/>
              <w:right w:w="60" w:type="dxa"/>
            </w:tcMar>
            <w:vAlign w:val="center"/>
            <w:shd w:val="clear" w:color="auto" w:fill="F7F4EE"/>
          </w:tcPr>
          <w:p>
            <w:pPr>
              <w:bidi w:val="1"/>
              <w:spacing w:before="0" w:after="0" w:line="269" w:lineRule="auto"/>
              <w:jc w:val="center"/>
            </w:pPr>
            <w:r>
              <w:rPr>
                <w:rFonts w:ascii="Arial" w:hAnsi="Arial" w:cs="Arial" w:eastAsia="Arial"/>
                <w:b/>
                <w:i w:val="0"/>
                <w:color w:val="1E293B"/>
                <w:sz w:val="18"/>
              </w:rPr>
              <w:t>2</w:t>
            </w:r>
          </w:p>
        </w:tc>
        <w:tc>
          <w:tcPr>
            <w:tcW w:type="dxa" w:w="3288"/>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حزمة مواسير داخل قفص الكمرة تُخلّ بالغطاء والكانات وبحد القطر والتباعد.</w:t>
            </w:r>
          </w:p>
        </w:tc>
        <w:tc>
          <w:tcPr>
            <w:tcW w:type="dxa" w:w="907"/>
            <w:shd w:val="clear" w:color="auto" w:fill="991B1B"/>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8"/>
              </w:rPr>
              <w:t>حرجة</w:t>
            </w:r>
          </w:p>
        </w:tc>
        <w:tc>
          <w:tcPr>
            <w:tcW w:type="dxa" w:w="1814"/>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ACI 318-19 §26.8.2</w:t>
            </w:r>
          </w:p>
        </w:tc>
        <w:tc>
          <w:tcPr>
            <w:tcW w:type="dxa" w:w="3742"/>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تُفك الحزمة بموافقة إنشائية خطية، وإلا يُزال الاختراق.</w:t>
            </w:r>
          </w:p>
        </w:tc>
      </w:tr>
      <w:tr>
        <w:tc>
          <w:tcPr>
            <w:tcW w:type="dxa" w:w="567"/>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1E293B"/>
                <w:sz w:val="18"/>
              </w:rPr>
              <w:t>3</w:t>
            </w:r>
          </w:p>
        </w:tc>
        <w:tc>
          <w:tcPr>
            <w:tcW w:type="dxa" w:w="3288"/>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مواسير ملاصقة لخشب الشدة، وغطاؤها السفلي معدوم.</w:t>
            </w:r>
          </w:p>
        </w:tc>
        <w:tc>
          <w:tcPr>
            <w:tcW w:type="dxa" w:w="907"/>
            <w:shd w:val="clear" w:color="auto" w:fill="991B1B"/>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8"/>
              </w:rPr>
              <w:t>حرجة</w:t>
            </w:r>
          </w:p>
        </w:tc>
        <w:tc>
          <w:tcPr>
            <w:tcW w:type="dxa" w:w="1814"/>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تفصيلة البلاطة</w:t>
            </w:r>
          </w:p>
        </w:tc>
        <w:tc>
          <w:tcPr>
            <w:tcW w:type="dxa" w:w="3742"/>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رفع المواسير حتى يتحقق الغطاء المعتمد.</w:t>
            </w:r>
          </w:p>
        </w:tc>
      </w:tr>
      <w:tr>
        <w:tc>
          <w:tcPr>
            <w:tcW w:type="dxa" w:w="567"/>
            <w:tcMar>
              <w:top w:w="60" w:type="dxa"/>
              <w:left w:w="60" w:type="dxa"/>
              <w:bottom w:w="60" w:type="dxa"/>
              <w:right w:w="60" w:type="dxa"/>
            </w:tcMar>
            <w:vAlign w:val="center"/>
            <w:shd w:val="clear" w:color="auto" w:fill="F7F4EE"/>
          </w:tcPr>
          <w:p>
            <w:pPr>
              <w:bidi w:val="1"/>
              <w:spacing w:before="0" w:after="0" w:line="269" w:lineRule="auto"/>
              <w:jc w:val="center"/>
            </w:pPr>
            <w:r>
              <w:rPr>
                <w:rFonts w:ascii="Arial" w:hAnsi="Arial" w:cs="Arial" w:eastAsia="Arial"/>
                <w:b/>
                <w:i w:val="0"/>
                <w:color w:val="1E293B"/>
                <w:sz w:val="18"/>
              </w:rPr>
              <w:t>4</w:t>
            </w:r>
          </w:p>
        </w:tc>
        <w:tc>
          <w:tcPr>
            <w:tcW w:type="dxa" w:w="3288"/>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ثنيات حادة. سحب الكابل بعد الصب غير مضمون.</w:t>
            </w:r>
          </w:p>
        </w:tc>
        <w:tc>
          <w:tcPr>
            <w:tcW w:type="dxa" w:w="907"/>
            <w:shd w:val="clear" w:color="auto" w:fill="FFEDD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A3412"/>
                <w:sz w:val="18"/>
              </w:rPr>
              <w:t>عالية</w:t>
            </w:r>
          </w:p>
        </w:tc>
        <w:tc>
          <w:tcPr>
            <w:tcW w:type="dxa" w:w="1814"/>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قابلية السحب</w:t>
            </w:r>
          </w:p>
        </w:tc>
        <w:tc>
          <w:tcPr>
            <w:tcW w:type="dxa" w:w="3742"/>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استبدال المكسور، وتجربة سلك سحب قبل الصب.</w:t>
            </w:r>
          </w:p>
        </w:tc>
      </w:tr>
      <w:tr>
        <w:tc>
          <w:tcPr>
            <w:tcW w:type="dxa" w:w="567"/>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1E293B"/>
                <w:sz w:val="18"/>
              </w:rPr>
              <w:t>5</w:t>
            </w:r>
          </w:p>
        </w:tc>
        <w:tc>
          <w:tcPr>
            <w:tcW w:type="dxa" w:w="3288"/>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المسار المعتمد حامل وسلم، والتنفيذ حزمة مدفونة.</w:t>
            </w:r>
          </w:p>
        </w:tc>
        <w:tc>
          <w:tcPr>
            <w:tcW w:type="dxa" w:w="907"/>
            <w:shd w:val="clear" w:color="auto" w:fill="991B1B"/>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8"/>
              </w:rPr>
              <w:t>حرجة</w:t>
            </w:r>
          </w:p>
        </w:tc>
        <w:tc>
          <w:tcPr>
            <w:tcW w:type="dxa" w:w="1814"/>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ELE-21</w:t>
            </w:r>
          </w:p>
        </w:tc>
        <w:tc>
          <w:tcPr>
            <w:tcW w:type="dxa" w:w="3742"/>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يُركَّب الحامل مكشوفاً بعد فك الشدة، ولا يُدفن.</w:t>
            </w:r>
          </w:p>
        </w:tc>
      </w:tr>
      <w:tr>
        <w:tc>
          <w:tcPr>
            <w:tcW w:type="dxa" w:w="567"/>
            <w:tcMar>
              <w:top w:w="60" w:type="dxa"/>
              <w:left w:w="60" w:type="dxa"/>
              <w:bottom w:w="60" w:type="dxa"/>
              <w:right w:w="60" w:type="dxa"/>
            </w:tcMar>
            <w:vAlign w:val="center"/>
            <w:shd w:val="clear" w:color="auto" w:fill="F7F4EE"/>
          </w:tcPr>
          <w:p>
            <w:pPr>
              <w:bidi w:val="1"/>
              <w:spacing w:before="0" w:after="0" w:line="269" w:lineRule="auto"/>
              <w:jc w:val="center"/>
            </w:pPr>
            <w:r>
              <w:rPr>
                <w:rFonts w:ascii="Arial" w:hAnsi="Arial" w:cs="Arial" w:eastAsia="Arial"/>
                <w:b/>
                <w:i w:val="0"/>
                <w:color w:val="1E293B"/>
                <w:sz w:val="18"/>
              </w:rPr>
              <w:t>6</w:t>
            </w:r>
          </w:p>
        </w:tc>
        <w:tc>
          <w:tcPr>
            <w:tcW w:type="dxa" w:w="3288"/>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ست سليفات قطر 4 in، غير مثبتة قياساً ولا ترقيماً.</w:t>
            </w:r>
          </w:p>
        </w:tc>
        <w:tc>
          <w:tcPr>
            <w:tcW w:type="dxa" w:w="907"/>
            <w:shd w:val="clear" w:color="auto" w:fill="FFEDD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A3412"/>
                <w:sz w:val="18"/>
              </w:rPr>
              <w:t>عالية</w:t>
            </w:r>
          </w:p>
        </w:tc>
        <w:tc>
          <w:tcPr>
            <w:tcW w:type="dxa" w:w="1814"/>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ادّعاء الموقع</w:t>
            </w:r>
          </w:p>
        </w:tc>
        <w:tc>
          <w:tcPr>
            <w:tcW w:type="dxa" w:w="3742"/>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قياس العدد والقطر، ثم الوسم، قبل الصب.</w:t>
            </w:r>
          </w:p>
        </w:tc>
      </w:tr>
      <w:tr>
        <w:tc>
          <w:tcPr>
            <w:tcW w:type="dxa" w:w="567"/>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1E293B"/>
                <w:sz w:val="18"/>
              </w:rPr>
              <w:t>7</w:t>
            </w:r>
          </w:p>
        </w:tc>
        <w:tc>
          <w:tcPr>
            <w:tcW w:type="dxa" w:w="3288"/>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مخطط الإنارة غير ممثل على المسطح.</w:t>
            </w:r>
          </w:p>
        </w:tc>
        <w:tc>
          <w:tcPr>
            <w:tcW w:type="dxa" w:w="907"/>
            <w:shd w:val="clear" w:color="auto" w:fill="991B1B"/>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8"/>
              </w:rPr>
              <w:t>حرجة</w:t>
            </w:r>
          </w:p>
        </w:tc>
        <w:tc>
          <w:tcPr>
            <w:tcW w:type="dxa" w:w="1814"/>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ELE-03</w:t>
            </w:r>
          </w:p>
        </w:tc>
        <w:tc>
          <w:tcPr>
            <w:tcW w:type="dxa" w:w="3742"/>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مخطط تنفيذي ملوّن. ما لم يُمدَّد لا يُصب فوقه.</w:t>
            </w:r>
          </w:p>
        </w:tc>
      </w:tr>
      <w:tr>
        <w:tc>
          <w:tcPr>
            <w:tcW w:type="dxa" w:w="567"/>
            <w:tcMar>
              <w:top w:w="60" w:type="dxa"/>
              <w:left w:w="60" w:type="dxa"/>
              <w:bottom w:w="60" w:type="dxa"/>
              <w:right w:w="60" w:type="dxa"/>
            </w:tcMar>
            <w:vAlign w:val="center"/>
            <w:shd w:val="clear" w:color="auto" w:fill="F7F4EE"/>
          </w:tcPr>
          <w:p>
            <w:pPr>
              <w:bidi w:val="1"/>
              <w:spacing w:before="0" w:after="0" w:line="269" w:lineRule="auto"/>
              <w:jc w:val="center"/>
            </w:pPr>
            <w:r>
              <w:rPr>
                <w:rFonts w:ascii="Arial" w:hAnsi="Arial" w:cs="Arial" w:eastAsia="Arial"/>
                <w:b/>
                <w:i w:val="0"/>
                <w:color w:val="1E293B"/>
                <w:sz w:val="18"/>
              </w:rPr>
              <w:t>8</w:t>
            </w:r>
          </w:p>
        </w:tc>
        <w:tc>
          <w:tcPr>
            <w:tcW w:type="dxa" w:w="3288"/>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ادّعاء اكتمال التكييف لا يطابق لوحة التغذية.</w:t>
            </w:r>
          </w:p>
        </w:tc>
        <w:tc>
          <w:tcPr>
            <w:tcW w:type="dxa" w:w="907"/>
            <w:shd w:val="clear" w:color="auto" w:fill="991B1B"/>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8"/>
              </w:rPr>
              <w:t>حرجة</w:t>
            </w:r>
          </w:p>
        </w:tc>
        <w:tc>
          <w:tcPr>
            <w:tcW w:type="dxa" w:w="1814"/>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ELE-15</w:t>
            </w:r>
          </w:p>
        </w:tc>
        <w:tc>
          <w:tcPr>
            <w:tcW w:type="dxa" w:w="3742"/>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تُخرج مواسير الفريون والصرف من القطاع إن وُجدت.</w:t>
            </w:r>
          </w:p>
        </w:tc>
      </w:tr>
      <w:tr>
        <w:tc>
          <w:tcPr>
            <w:tcW w:type="dxa" w:w="567"/>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1E293B"/>
                <w:sz w:val="18"/>
              </w:rPr>
              <w:t>9</w:t>
            </w:r>
          </w:p>
        </w:tc>
        <w:tc>
          <w:tcPr>
            <w:tcW w:type="dxa" w:w="3288"/>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التيار الخفيف مختلط مع القوى.</w:t>
            </w:r>
          </w:p>
        </w:tc>
        <w:tc>
          <w:tcPr>
            <w:tcW w:type="dxa" w:w="907"/>
            <w:shd w:val="clear" w:color="auto" w:fill="991B1B"/>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8"/>
              </w:rPr>
              <w:t>حرجة</w:t>
            </w:r>
          </w:p>
        </w:tc>
        <w:tc>
          <w:tcPr>
            <w:tcW w:type="dxa" w:w="1814"/>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ELE-27</w:t>
            </w:r>
          </w:p>
        </w:tc>
        <w:tc>
          <w:tcPr>
            <w:tcW w:type="dxa" w:w="3742"/>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مسار مستقل إلى الخزائن الثلاث.</w:t>
            </w:r>
          </w:p>
        </w:tc>
      </w:tr>
      <w:tr>
        <w:tc>
          <w:tcPr>
            <w:tcW w:type="dxa" w:w="567"/>
            <w:tcMar>
              <w:top w:w="60" w:type="dxa"/>
              <w:left w:w="60" w:type="dxa"/>
              <w:bottom w:w="60" w:type="dxa"/>
              <w:right w:w="60" w:type="dxa"/>
            </w:tcMar>
            <w:vAlign w:val="center"/>
            <w:shd w:val="clear" w:color="auto" w:fill="F7F4EE"/>
          </w:tcPr>
          <w:p>
            <w:pPr>
              <w:bidi w:val="1"/>
              <w:spacing w:before="0" w:after="0" w:line="269" w:lineRule="auto"/>
              <w:jc w:val="center"/>
            </w:pPr>
            <w:r>
              <w:rPr>
                <w:rFonts w:ascii="Arial" w:hAnsi="Arial" w:cs="Arial" w:eastAsia="Arial"/>
                <w:b/>
                <w:i w:val="0"/>
                <w:color w:val="1E293B"/>
                <w:sz w:val="18"/>
              </w:rPr>
              <w:t>10</w:t>
            </w:r>
          </w:p>
        </w:tc>
        <w:tc>
          <w:tcPr>
            <w:tcW w:type="dxa" w:w="3288"/>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تمديد في منسوب ردم يُقِرّ الموقع أنه غير مبيّن.</w:t>
            </w:r>
          </w:p>
        </w:tc>
        <w:tc>
          <w:tcPr>
            <w:tcW w:type="dxa" w:w="907"/>
            <w:shd w:val="clear" w:color="auto" w:fill="991B1B"/>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8"/>
              </w:rPr>
              <w:t>حرجة</w:t>
            </w:r>
          </w:p>
        </w:tc>
        <w:tc>
          <w:tcPr>
            <w:tcW w:type="dxa" w:w="1814"/>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إقرار الموقع</w:t>
            </w:r>
          </w:p>
        </w:tc>
        <w:tc>
          <w:tcPr>
            <w:tcW w:type="dxa" w:w="3742"/>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إزالة التمديد، أو لوحة معدّلة مع طلب تغيير موقّع قبل الصب.</w:t>
            </w:r>
          </w:p>
        </w:tc>
      </w:tr>
      <w:tr>
        <w:tc>
          <w:tcPr>
            <w:tcW w:type="dxa" w:w="567"/>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1E293B"/>
                <w:sz w:val="18"/>
              </w:rPr>
              <w:t>11</w:t>
            </w:r>
          </w:p>
        </w:tc>
        <w:tc>
          <w:tcPr>
            <w:tcW w:type="dxa" w:w="3288"/>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ارتفاع 1.80 m غير مقيس.</w:t>
            </w:r>
          </w:p>
        </w:tc>
        <w:tc>
          <w:tcPr>
            <w:tcW w:type="dxa" w:w="907"/>
            <w:shd w:val="clear" w:color="auto" w:fill="E2E8F0"/>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0B2545"/>
                <w:sz w:val="18"/>
              </w:rPr>
              <w:t>متوسطة</w:t>
            </w:r>
          </w:p>
        </w:tc>
        <w:tc>
          <w:tcPr>
            <w:tcW w:type="dxa" w:w="1814"/>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ادّعاء شفهي</w:t>
            </w:r>
          </w:p>
        </w:tc>
        <w:tc>
          <w:tcPr>
            <w:tcW w:type="dxa" w:w="3742"/>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قياس الارتفاع وربطه بالمخطط المعماري.</w:t>
            </w:r>
          </w:p>
        </w:tc>
      </w:tr>
      <w:tr>
        <w:tc>
          <w:tcPr>
            <w:tcW w:type="dxa" w:w="567"/>
            <w:tcMar>
              <w:top w:w="60" w:type="dxa"/>
              <w:left w:w="60" w:type="dxa"/>
              <w:bottom w:w="60" w:type="dxa"/>
              <w:right w:w="60" w:type="dxa"/>
            </w:tcMar>
            <w:vAlign w:val="center"/>
            <w:shd w:val="clear" w:color="auto" w:fill="F7F4EE"/>
          </w:tcPr>
          <w:p>
            <w:pPr>
              <w:bidi w:val="1"/>
              <w:spacing w:before="0" w:after="0" w:line="269" w:lineRule="auto"/>
              <w:jc w:val="center"/>
            </w:pPr>
            <w:r>
              <w:rPr>
                <w:rFonts w:ascii="Arial" w:hAnsi="Arial" w:cs="Arial" w:eastAsia="Arial"/>
                <w:b/>
                <w:i w:val="0"/>
                <w:color w:val="1E293B"/>
                <w:sz w:val="18"/>
              </w:rPr>
              <w:t>12</w:t>
            </w:r>
          </w:p>
        </w:tc>
        <w:tc>
          <w:tcPr>
            <w:tcW w:type="dxa" w:w="3288"/>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أطراف مفتوحة، وسير فوق المواسير.</w:t>
            </w:r>
          </w:p>
        </w:tc>
        <w:tc>
          <w:tcPr>
            <w:tcW w:type="dxa" w:w="907"/>
            <w:shd w:val="clear" w:color="auto" w:fill="FFEDD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A3412"/>
                <w:sz w:val="18"/>
              </w:rPr>
              <w:t>عالية</w:t>
            </w:r>
          </w:p>
        </w:tc>
        <w:tc>
          <w:tcPr>
            <w:tcW w:type="dxa" w:w="1814"/>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حماية التمديد</w:t>
            </w:r>
          </w:p>
        </w:tc>
        <w:tc>
          <w:tcPr>
            <w:tcW w:type="dxa" w:w="3742"/>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تركيب طبات، ومنع المرور حتى الصب.</w:t>
            </w:r>
          </w:p>
        </w:tc>
      </w:tr>
      <w:tr>
        <w:tc>
          <w:tcPr>
            <w:tcW w:type="dxa" w:w="567"/>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1E293B"/>
                <w:sz w:val="18"/>
              </w:rPr>
              <w:t>13</w:t>
            </w:r>
          </w:p>
        </w:tc>
        <w:tc>
          <w:tcPr>
            <w:tcW w:type="dxa" w:w="3288"/>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التأريض غير ظاهر، ولا يُخلط مع بلاطة معلقة.</w:t>
            </w:r>
          </w:p>
        </w:tc>
        <w:tc>
          <w:tcPr>
            <w:tcW w:type="dxa" w:w="907"/>
            <w:shd w:val="clear" w:color="auto" w:fill="FFEDD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A3412"/>
                <w:sz w:val="18"/>
              </w:rPr>
              <w:t>عالية</w:t>
            </w:r>
          </w:p>
        </w:tc>
        <w:tc>
          <w:tcPr>
            <w:tcW w:type="dxa" w:w="1814"/>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E-00 / E-01</w:t>
            </w:r>
          </w:p>
        </w:tc>
        <w:tc>
          <w:tcPr>
            <w:tcW w:type="dxa" w:w="3742"/>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يُستكمل في عنصر اللبشة: 5 Ω و1 Ω.</w:t>
            </w:r>
          </w:p>
        </w:tc>
      </w:tr>
    </w:tbl>
    <w:p>
      <w:pPr>
        <w:bidi w:val="1"/>
        <w:spacing w:before="0" w:after="40" w:line="269" w:lineRule="auto"/>
        <w:jc w:val="right"/>
      </w:pPr>
    </w:p>
    <w:p>
      <w:pPr>
        <w:bidi w:val="1"/>
        <w:spacing w:before="240" w:after="80" w:line="269" w:lineRule="auto"/>
        <w:jc w:val="right"/>
        <w:pBdr>
          <w:bottom w:val="single" w:sz="8" w:space="1" w:color="0B2545"/>
        </w:pBdr>
      </w:pPr>
      <w:r>
        <w:rPr>
          <w:rFonts w:ascii="Arial" w:hAnsi="Arial" w:cs="Arial" w:eastAsia="Arial"/>
          <w:b/>
          <w:i w:val="0"/>
          <w:color w:val="0B2545"/>
          <w:sz w:val="26"/>
        </w:rPr>
        <w:t>7. قائمة الفحص قبل الصب</w:t>
      </w:r>
    </w:p>
    <w:p>
      <w:pPr>
        <w:bidi w:val="1"/>
        <w:spacing w:before="0" w:after="80" w:line="269" w:lineRule="auto"/>
        <w:jc w:val="right"/>
      </w:pPr>
      <w:r>
        <w:rPr>
          <w:rFonts w:ascii="Arial" w:hAnsi="Arial" w:cs="Arial" w:eastAsia="Arial"/>
          <w:b w:val="0"/>
          <w:i w:val="0"/>
          <w:color w:val="1E293B"/>
          <w:sz w:val="20"/>
        </w:rPr>
        <w:t>خانة الحكم هي وضع اليوم من الفيديو. ولا تُوقَّع خانة «مطابق» إلا بعد إعادة المعاينة والقياس.</w:t>
      </w:r>
    </w:p>
    <w:tbl>
      <w:tblPr>
        <w:tblW w:type="dxa" w:w="10319"/>
        <w:jc w:val="center"/>
        <w:tblLayout w:type="fixed"/>
        <w:tblLook w:firstColumn="1" w:firstRow="1" w:lastColumn="0" w:lastRow="0" w:noHBand="0" w:noVBand="1" w:val="04A0"/>
        <w:bidiVisual w:val="1"/>
        <w:tblBorders>
          <w:top w:val="single" w:sz="4" w:space="0" w:color="D6D1C7"/>
          <w:left w:val="single" w:sz="4" w:space="0" w:color="D6D1C7"/>
          <w:bottom w:val="single" w:sz="4" w:space="0" w:color="D6D1C7"/>
          <w:right w:val="single" w:sz="4" w:space="0" w:color="D6D1C7"/>
          <w:insideH w:val="single" w:sz="4" w:space="0" w:color="D6D1C7"/>
          <w:insideV w:val="single" w:sz="4" w:space="0" w:color="D6D1C7"/>
        </w:tblBorders>
      </w:tblPr>
      <w:tblGrid>
        <w:gridCol w:w="2041"/>
        <w:gridCol w:w="6237"/>
        <w:gridCol w:w="2041"/>
      </w:tblGrid>
      <w:tr>
        <w:trPr>
          <w:tblHeader/>
        </w:trPr>
        <w:tc>
          <w:tcPr>
            <w:tcW w:type="dxa" w:w="2041"/>
            <w:shd w:val="clear" w:color="auto" w:fill="0B254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9"/>
              </w:rPr>
              <w:t>بند الفحص</w:t>
            </w:r>
          </w:p>
        </w:tc>
        <w:tc>
          <w:tcPr>
            <w:tcW w:type="dxa" w:w="6237"/>
            <w:shd w:val="clear" w:color="auto" w:fill="0B254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9"/>
              </w:rPr>
              <w:t>المطلوب</w:t>
            </w:r>
          </w:p>
        </w:tc>
        <w:tc>
          <w:tcPr>
            <w:tcW w:type="dxa" w:w="2041"/>
            <w:shd w:val="clear" w:color="auto" w:fill="0B2545"/>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FFFFFF"/>
                <w:sz w:val="19"/>
              </w:rPr>
              <w:t>الحكم اليوم</w:t>
            </w:r>
          </w:p>
        </w:tc>
      </w:tr>
      <w:tr>
        <w:tc>
          <w:tcPr>
            <w:tcW w:type="dxa" w:w="2041"/>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المستندات</w:t>
            </w:r>
          </w:p>
        </w:tc>
        <w:tc>
          <w:tcPr>
            <w:tcW w:type="dxa" w:w="6237"/>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مخطط تنفيذي معتمد على اللوحات الخمس قبل التمديد.</w:t>
            </w:r>
          </w:p>
        </w:tc>
        <w:tc>
          <w:tcPr>
            <w:tcW w:type="dxa" w:w="2041"/>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r>
        <w:tc>
          <w:tcPr>
            <w:tcW w:type="dxa" w:w="2041"/>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تسلسل الصب</w:t>
            </w:r>
          </w:p>
        </w:tc>
        <w:tc>
          <w:tcPr>
            <w:tcW w:type="dxa" w:w="6237"/>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التمديد قبل قفل الرقة العلوية.</w:t>
            </w:r>
          </w:p>
        </w:tc>
        <w:tc>
          <w:tcPr>
            <w:tcW w:type="dxa" w:w="2041"/>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r>
        <w:tc>
          <w:tcPr>
            <w:tcW w:type="dxa" w:w="2041"/>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موضع الماسورة</w:t>
            </w:r>
          </w:p>
        </w:tc>
        <w:tc>
          <w:tcPr>
            <w:tcW w:type="dxa" w:w="6237"/>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بين الطبقتين ومربوطة، لا فوق الحديد العلوي.</w:t>
            </w:r>
          </w:p>
        </w:tc>
        <w:tc>
          <w:tcPr>
            <w:tcW w:type="dxa" w:w="2041"/>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r>
        <w:tc>
          <w:tcPr>
            <w:tcW w:type="dxa" w:w="2041"/>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الغطاء</w:t>
            </w:r>
          </w:p>
        </w:tc>
        <w:tc>
          <w:tcPr>
            <w:tcW w:type="dxa" w:w="6237"/>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غطاء سفلي وعلوي، بلا ملامسة للخشب.</w:t>
            </w:r>
          </w:p>
        </w:tc>
        <w:tc>
          <w:tcPr>
            <w:tcW w:type="dxa" w:w="2041"/>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r>
        <w:tc>
          <w:tcPr>
            <w:tcW w:type="dxa" w:w="2041"/>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القيد الإنشائي</w:t>
            </w:r>
          </w:p>
        </w:tc>
        <w:tc>
          <w:tcPr>
            <w:tcW w:type="dxa" w:w="6237"/>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قطر لا يتجاوز ثلث السمك، وتباعد لا يقل عن 3 أقطار.</w:t>
            </w:r>
          </w:p>
        </w:tc>
        <w:tc>
          <w:tcPr>
            <w:tcW w:type="dxa" w:w="2041"/>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r>
        <w:tc>
          <w:tcPr>
            <w:tcW w:type="dxa" w:w="2041"/>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الاعتماد الإنشائي</w:t>
            </w:r>
          </w:p>
        </w:tc>
        <w:tc>
          <w:tcPr>
            <w:tcW w:type="dxa" w:w="6237"/>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موافقة خطية على اختراق الكمرة.</w:t>
            </w:r>
          </w:p>
        </w:tc>
        <w:tc>
          <w:tcPr>
            <w:tcW w:type="dxa" w:w="2041"/>
            <w:shd w:val="clear" w:color="auto" w:fill="FEF3C7"/>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2400E"/>
                <w:sz w:val="18"/>
              </w:rPr>
              <w:t>غير مثبت</w:t>
            </w:r>
          </w:p>
        </w:tc>
      </w:tr>
      <w:tr>
        <w:tc>
          <w:tcPr>
            <w:tcW w:type="dxa" w:w="2041"/>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الإنارة</w:t>
            </w:r>
          </w:p>
        </w:tc>
        <w:tc>
          <w:tcPr>
            <w:tcW w:type="dxa" w:w="6237"/>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ELE-03: ماسورة 3/4 in لكل نقطة، ودوائر N-B2 وEM-B2.</w:t>
            </w:r>
          </w:p>
        </w:tc>
        <w:tc>
          <w:tcPr>
            <w:tcW w:type="dxa" w:w="2041"/>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r>
        <w:tc>
          <w:tcPr>
            <w:tcW w:type="dxa" w:w="2041"/>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المآخذ</w:t>
            </w:r>
          </w:p>
        </w:tc>
        <w:tc>
          <w:tcPr>
            <w:tcW w:type="dxa" w:w="6237"/>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ELE-09 في موضعها، بلا خلط مع الإنارة.</w:t>
            </w:r>
          </w:p>
        </w:tc>
        <w:tc>
          <w:tcPr>
            <w:tcW w:type="dxa" w:w="2041"/>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r>
        <w:tc>
          <w:tcPr>
            <w:tcW w:type="dxa" w:w="2041"/>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الميكانيكا</w:t>
            </w:r>
          </w:p>
        </w:tc>
        <w:tc>
          <w:tcPr>
            <w:tcW w:type="dxa" w:w="6237"/>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ELE-15: تغذية ومفتاح IP65 لكل FCU، بلا فريون مدفون.</w:t>
            </w:r>
          </w:p>
        </w:tc>
        <w:tc>
          <w:tcPr>
            <w:tcW w:type="dxa" w:w="2041"/>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r>
        <w:tc>
          <w:tcPr>
            <w:tcW w:type="dxa" w:w="2041"/>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مسار الكابلات</w:t>
            </w:r>
          </w:p>
        </w:tc>
        <w:tc>
          <w:tcPr>
            <w:tcW w:type="dxa" w:w="6237"/>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ELE-21: حامل 1000 mm وسلم 200 mm مكشوفان.</w:t>
            </w:r>
          </w:p>
        </w:tc>
        <w:tc>
          <w:tcPr>
            <w:tcW w:type="dxa" w:w="2041"/>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r>
        <w:tc>
          <w:tcPr>
            <w:tcW w:type="dxa" w:w="2041"/>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التيار الخفيف</w:t>
            </w:r>
          </w:p>
        </w:tc>
        <w:tc>
          <w:tcPr>
            <w:tcW w:type="dxa" w:w="6237"/>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ELE-27: مسار مستقل إلى الخزائن الثلاث.</w:t>
            </w:r>
          </w:p>
        </w:tc>
        <w:tc>
          <w:tcPr>
            <w:tcW w:type="dxa" w:w="2041"/>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r>
        <w:tc>
          <w:tcPr>
            <w:tcW w:type="dxa" w:w="2041"/>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فصل الأنظمة</w:t>
            </w:r>
          </w:p>
        </w:tc>
        <w:tc>
          <w:tcPr>
            <w:tcW w:type="dxa" w:w="6237"/>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لا حزمة مشتركة بين القوى والتيار الخفيف.</w:t>
            </w:r>
          </w:p>
        </w:tc>
        <w:tc>
          <w:tcPr>
            <w:tcW w:type="dxa" w:w="2041"/>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r>
        <w:tc>
          <w:tcPr>
            <w:tcW w:type="dxa" w:w="2041"/>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سليفات المحول</w:t>
            </w:r>
          </w:p>
        </w:tc>
        <w:tc>
          <w:tcPr>
            <w:tcW w:type="dxa" w:w="6237"/>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عدد، وقطر، ووسم، وسلك سحب، وطبة.</w:t>
            </w:r>
          </w:p>
        </w:tc>
        <w:tc>
          <w:tcPr>
            <w:tcW w:type="dxa" w:w="2041"/>
            <w:shd w:val="clear" w:color="auto" w:fill="FEF3C7"/>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2400E"/>
                <w:sz w:val="18"/>
              </w:rPr>
              <w:t>غير مثبت</w:t>
            </w:r>
          </w:p>
        </w:tc>
      </w:tr>
      <w:tr>
        <w:tc>
          <w:tcPr>
            <w:tcW w:type="dxa" w:w="2041"/>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قابلية السحب</w:t>
            </w:r>
          </w:p>
        </w:tc>
        <w:tc>
          <w:tcPr>
            <w:tcW w:type="dxa" w:w="6237"/>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ثني سليم، وتجربة سلك سحب.</w:t>
            </w:r>
          </w:p>
        </w:tc>
        <w:tc>
          <w:tcPr>
            <w:tcW w:type="dxa" w:w="2041"/>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r>
        <w:tc>
          <w:tcPr>
            <w:tcW w:type="dxa" w:w="2041"/>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الترقيم</w:t>
            </w:r>
          </w:p>
        </w:tc>
        <w:tc>
          <w:tcPr>
            <w:tcW w:type="dxa" w:w="6237"/>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وسم على الماسورة، لا بخاخ على الحديد.</w:t>
            </w:r>
          </w:p>
        </w:tc>
        <w:tc>
          <w:tcPr>
            <w:tcW w:type="dxa" w:w="2041"/>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r>
        <w:tc>
          <w:tcPr>
            <w:tcW w:type="dxa" w:w="2041"/>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خارج المخطط</w:t>
            </w:r>
          </w:p>
        </w:tc>
        <w:tc>
          <w:tcPr>
            <w:tcW w:type="dxa" w:w="6237"/>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تمديد منطقة الردم يُزال، أو يُغطى بمخطط معدّل.</w:t>
            </w:r>
          </w:p>
        </w:tc>
        <w:tc>
          <w:tcPr>
            <w:tcW w:type="dxa" w:w="2041"/>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r>
        <w:tc>
          <w:tcPr>
            <w:tcW w:type="dxa" w:w="2041"/>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التأريض</w:t>
            </w:r>
          </w:p>
        </w:tc>
        <w:tc>
          <w:tcPr>
            <w:tcW w:type="dxa" w:w="6237"/>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أقطاب اللبشة، بقيمتي 5 Ω و1 Ω.</w:t>
            </w:r>
          </w:p>
        </w:tc>
        <w:tc>
          <w:tcPr>
            <w:tcW w:type="dxa" w:w="2041"/>
            <w:shd w:val="clear" w:color="auto" w:fill="FEF3C7"/>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2400E"/>
                <w:sz w:val="18"/>
              </w:rPr>
              <w:t>غير مثبت</w:t>
            </w:r>
          </w:p>
        </w:tc>
      </w:tr>
      <w:tr>
        <w:tc>
          <w:tcPr>
            <w:tcW w:type="dxa" w:w="2041"/>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حماية التمديد</w:t>
            </w:r>
          </w:p>
        </w:tc>
        <w:tc>
          <w:tcPr>
            <w:tcW w:type="dxa" w:w="6237"/>
            <w:tcMar>
              <w:top w:w="60" w:type="dxa"/>
              <w:left w:w="60" w:type="dxa"/>
              <w:bottom w:w="60" w:type="dxa"/>
              <w:right w:w="60" w:type="dxa"/>
            </w:tcMar>
            <w:vAlign w:val="center"/>
            <w:shd w:val="clear" w:color="auto" w:fill="F7F4EE"/>
          </w:tcPr>
          <w:p>
            <w:pPr>
              <w:bidi w:val="1"/>
              <w:spacing w:before="0" w:after="0" w:line="269" w:lineRule="auto"/>
              <w:jc w:val="right"/>
            </w:pPr>
            <w:r>
              <w:rPr>
                <w:rFonts w:ascii="Arial" w:hAnsi="Arial" w:cs="Arial" w:eastAsia="Arial"/>
                <w:b w:val="0"/>
                <w:i w:val="0"/>
                <w:color w:val="1E293B"/>
                <w:sz w:val="18"/>
              </w:rPr>
              <w:t>أطراف مغلقة، ولا سير فوق المواسير.</w:t>
            </w:r>
          </w:p>
        </w:tc>
        <w:tc>
          <w:tcPr>
            <w:tcW w:type="dxa" w:w="2041"/>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r>
        <w:tc>
          <w:tcPr>
            <w:tcW w:type="dxa" w:w="2041"/>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إغلاق الجودة</w:t>
            </w:r>
          </w:p>
        </w:tc>
        <w:tc>
          <w:tcPr>
            <w:tcW w:type="dxa" w:w="6237"/>
            <w:tcMar>
              <w:top w:w="60" w:type="dxa"/>
              <w:left w:w="60" w:type="dxa"/>
              <w:bottom w:w="60" w:type="dxa"/>
              <w:right w:w="60" w:type="dxa"/>
            </w:tcMar>
            <w:vAlign w:val="center"/>
          </w:tcPr>
          <w:p>
            <w:pPr>
              <w:bidi w:val="1"/>
              <w:spacing w:before="0" w:after="0" w:line="269" w:lineRule="auto"/>
              <w:jc w:val="right"/>
            </w:pPr>
            <w:r>
              <w:rPr>
                <w:rFonts w:ascii="Arial" w:hAnsi="Arial" w:cs="Arial" w:eastAsia="Arial"/>
                <w:b w:val="0"/>
                <w:i w:val="0"/>
                <w:color w:val="1E293B"/>
                <w:sz w:val="18"/>
              </w:rPr>
              <w:t>محضر أعمال مخفية بتوقيع مهندس الكهرباء والمهندس الإنشائي قبل أمر الصب.</w:t>
            </w:r>
          </w:p>
        </w:tc>
        <w:tc>
          <w:tcPr>
            <w:tcW w:type="dxa" w:w="2041"/>
            <w:shd w:val="clear" w:color="auto" w:fill="FDECEC"/>
            <w:tcMar>
              <w:top w:w="60" w:type="dxa"/>
              <w:left w:w="60" w:type="dxa"/>
              <w:bottom w:w="60" w:type="dxa"/>
              <w:right w:w="60" w:type="dxa"/>
            </w:tcMar>
            <w:vAlign w:val="center"/>
          </w:tcPr>
          <w:p>
            <w:pPr>
              <w:bidi w:val="1"/>
              <w:spacing w:before="0" w:after="0" w:line="269" w:lineRule="auto"/>
              <w:jc w:val="center"/>
            </w:pPr>
            <w:r>
              <w:rPr>
                <w:rFonts w:ascii="Arial" w:hAnsi="Arial" w:cs="Arial" w:eastAsia="Arial"/>
                <w:b/>
                <w:i w:val="0"/>
                <w:color w:val="991B1B"/>
                <w:sz w:val="18"/>
              </w:rPr>
              <w:t>غير مطابق</w:t>
            </w:r>
          </w:p>
        </w:tc>
      </w:tr>
    </w:tbl>
    <w:p>
      <w:pPr>
        <w:bidi w:val="1"/>
        <w:spacing w:before="0" w:after="40" w:line="269" w:lineRule="auto"/>
        <w:jc w:val="right"/>
      </w:pPr>
    </w:p>
    <w:p>
      <w:pPr>
        <w:bidi w:val="1"/>
        <w:spacing w:before="240" w:after="80" w:line="269" w:lineRule="auto"/>
        <w:jc w:val="right"/>
        <w:pBdr>
          <w:bottom w:val="single" w:sz="8" w:space="1" w:color="0B2545"/>
        </w:pBdr>
      </w:pPr>
      <w:r>
        <w:rPr>
          <w:rFonts w:ascii="Arial" w:hAnsi="Arial" w:cs="Arial" w:eastAsia="Arial"/>
          <w:b/>
          <w:i w:val="0"/>
          <w:color w:val="0B2545"/>
          <w:sz w:val="26"/>
        </w:rPr>
        <w:t>8. المطلوب لما نُفّذ على البلاطة</w:t>
      </w:r>
    </w:p>
    <w:p>
      <w:pPr>
        <w:bidi w:val="1"/>
        <w:spacing w:before="0" w:after="40" w:line="269" w:lineRule="auto"/>
        <w:jc w:val="right"/>
      </w:pPr>
      <w:r>
        <w:rPr>
          <w:rFonts w:ascii="Arial" w:hAnsi="Arial" w:cs="Arial" w:eastAsia="Arial"/>
          <w:b/>
          <w:i w:val="0"/>
          <w:color w:val="0B2545"/>
          <w:sz w:val="22"/>
        </w:rPr>
        <w:t xml:space="preserve">1.  </w:t>
      </w:r>
      <w:r>
        <w:rPr>
          <w:rFonts w:ascii="Arial" w:hAnsi="Arial" w:cs="Arial" w:eastAsia="Arial"/>
          <w:b w:val="0"/>
          <w:i w:val="0"/>
          <w:color w:val="1E293B"/>
          <w:sz w:val="22"/>
        </w:rPr>
        <w:t>يُوقف الصب فوراً في المسطحات المصوّرة، بما فيها باكية الردم.</w:t>
      </w:r>
    </w:p>
    <w:p>
      <w:pPr>
        <w:bidi w:val="1"/>
        <w:spacing w:before="0" w:after="40" w:line="269" w:lineRule="auto"/>
        <w:jc w:val="right"/>
      </w:pPr>
      <w:r>
        <w:rPr>
          <w:rFonts w:ascii="Arial" w:hAnsi="Arial" w:cs="Arial" w:eastAsia="Arial"/>
          <w:b/>
          <w:i w:val="0"/>
          <w:color w:val="0B2545"/>
          <w:sz w:val="22"/>
        </w:rPr>
        <w:t xml:space="preserve">2.  </w:t>
      </w:r>
      <w:r>
        <w:rPr>
          <w:rFonts w:ascii="Arial" w:hAnsi="Arial" w:cs="Arial" w:eastAsia="Arial"/>
          <w:b w:val="0"/>
          <w:i w:val="0"/>
          <w:color w:val="1E293B"/>
          <w:sz w:val="22"/>
        </w:rPr>
        <w:t>يُعدّ مخطط تنفيذي ملوّن على اللوحات الخمس. ما لا يُرسم لا يُعتمد.</w:t>
      </w:r>
    </w:p>
    <w:p>
      <w:pPr>
        <w:bidi w:val="1"/>
        <w:spacing w:before="0" w:after="40" w:line="269" w:lineRule="auto"/>
        <w:jc w:val="right"/>
      </w:pPr>
      <w:r>
        <w:rPr>
          <w:rFonts w:ascii="Arial" w:hAnsi="Arial" w:cs="Arial" w:eastAsia="Arial"/>
          <w:b/>
          <w:i w:val="0"/>
          <w:color w:val="0B2545"/>
          <w:sz w:val="22"/>
        </w:rPr>
        <w:t xml:space="preserve">3.  </w:t>
      </w:r>
      <w:r>
        <w:rPr>
          <w:rFonts w:ascii="Arial" w:hAnsi="Arial" w:cs="Arial" w:eastAsia="Arial"/>
          <w:b w:val="0"/>
          <w:i w:val="0"/>
          <w:color w:val="1E293B"/>
          <w:sz w:val="22"/>
        </w:rPr>
        <w:t>تُفك حزمة الكمرة، وتُعاد الكانات والغطاء. لا يبقى اختراق إلا بموافقة إنشائية خطية.</w:t>
      </w:r>
    </w:p>
    <w:p>
      <w:pPr>
        <w:bidi w:val="1"/>
        <w:spacing w:before="0" w:after="40" w:line="269" w:lineRule="auto"/>
        <w:jc w:val="right"/>
      </w:pPr>
      <w:r>
        <w:rPr>
          <w:rFonts w:ascii="Arial" w:hAnsi="Arial" w:cs="Arial" w:eastAsia="Arial"/>
          <w:b/>
          <w:i w:val="0"/>
          <w:color w:val="0B2545"/>
          <w:sz w:val="22"/>
        </w:rPr>
        <w:t xml:space="preserve">4.  </w:t>
      </w:r>
      <w:r>
        <w:rPr>
          <w:rFonts w:ascii="Arial" w:hAnsi="Arial" w:cs="Arial" w:eastAsia="Arial"/>
          <w:b w:val="0"/>
          <w:i w:val="0"/>
          <w:color w:val="1E293B"/>
          <w:sz w:val="22"/>
        </w:rPr>
        <w:t>تُعاد إنارة هذا السقف — إن ثبت أنه سقف الدور — بين الطبقتين بقطر 3/4 in، وإلى نقاط ELE-03 فقط.</w:t>
      </w:r>
    </w:p>
    <w:p>
      <w:pPr>
        <w:bidi w:val="1"/>
        <w:spacing w:before="0" w:after="40" w:line="269" w:lineRule="auto"/>
        <w:jc w:val="right"/>
      </w:pPr>
      <w:r>
        <w:rPr>
          <w:rFonts w:ascii="Arial" w:hAnsi="Arial" w:cs="Arial" w:eastAsia="Arial"/>
          <w:b/>
          <w:i w:val="0"/>
          <w:color w:val="0B2545"/>
          <w:sz w:val="22"/>
        </w:rPr>
        <w:t xml:space="preserve">5.  </w:t>
      </w:r>
      <w:r>
        <w:rPr>
          <w:rFonts w:ascii="Arial" w:hAnsi="Arial" w:cs="Arial" w:eastAsia="Arial"/>
          <w:b w:val="0"/>
          <w:i w:val="0"/>
          <w:color w:val="1E293B"/>
          <w:sz w:val="22"/>
        </w:rPr>
        <w:t>لا يُدفن الحامل 1000 mm ولا سلم 200 mm. ولا يُسمح بسليف إلا عند اختراق معتمد، وبالعدد المقيس.</w:t>
      </w:r>
    </w:p>
    <w:p>
      <w:pPr>
        <w:bidi w:val="1"/>
        <w:spacing w:before="0" w:after="40" w:line="269" w:lineRule="auto"/>
        <w:jc w:val="right"/>
      </w:pPr>
      <w:r>
        <w:rPr>
          <w:rFonts w:ascii="Arial" w:hAnsi="Arial" w:cs="Arial" w:eastAsia="Arial"/>
          <w:b/>
          <w:i w:val="0"/>
          <w:color w:val="0B2545"/>
          <w:sz w:val="22"/>
        </w:rPr>
        <w:t xml:space="preserve">6.  </w:t>
      </w:r>
      <w:r>
        <w:rPr>
          <w:rFonts w:ascii="Arial" w:hAnsi="Arial" w:cs="Arial" w:eastAsia="Arial"/>
          <w:b w:val="0"/>
          <w:i w:val="0"/>
          <w:color w:val="1E293B"/>
          <w:sz w:val="22"/>
        </w:rPr>
        <w:t>يكون التيار الخفيف على مسار مستقل. وتُسحب أي ماسورة له من داخل حزمة القوى.</w:t>
      </w:r>
    </w:p>
    <w:p>
      <w:pPr>
        <w:bidi w:val="1"/>
        <w:spacing w:before="0" w:after="40" w:line="269" w:lineRule="auto"/>
        <w:jc w:val="right"/>
      </w:pPr>
      <w:r>
        <w:rPr>
          <w:rFonts w:ascii="Arial" w:hAnsi="Arial" w:cs="Arial" w:eastAsia="Arial"/>
          <w:b/>
          <w:i w:val="0"/>
          <w:color w:val="0B2545"/>
          <w:sz w:val="22"/>
        </w:rPr>
        <w:t xml:space="preserve">7.  </w:t>
      </w:r>
      <w:r>
        <w:rPr>
          <w:rFonts w:ascii="Arial" w:hAnsi="Arial" w:cs="Arial" w:eastAsia="Arial"/>
          <w:b w:val="0"/>
          <w:i w:val="0"/>
          <w:color w:val="1E293B"/>
          <w:sz w:val="22"/>
        </w:rPr>
        <w:t>تُخرج مواسير الفريون والصرف من القطاع. وتقتصر تغذية التكييف على لوحة ELE-15.</w:t>
      </w:r>
    </w:p>
    <w:p>
      <w:pPr>
        <w:bidi w:val="1"/>
        <w:spacing w:before="0" w:after="40" w:line="269" w:lineRule="auto"/>
        <w:jc w:val="right"/>
      </w:pPr>
      <w:r>
        <w:rPr>
          <w:rFonts w:ascii="Arial" w:hAnsi="Arial" w:cs="Arial" w:eastAsia="Arial"/>
          <w:b/>
          <w:i w:val="0"/>
          <w:color w:val="0B2545"/>
          <w:sz w:val="22"/>
        </w:rPr>
        <w:t xml:space="preserve">8.  </w:t>
      </w:r>
      <w:r>
        <w:rPr>
          <w:rFonts w:ascii="Arial" w:hAnsi="Arial" w:cs="Arial" w:eastAsia="Arial"/>
          <w:b w:val="0"/>
          <w:i w:val="0"/>
          <w:color w:val="1E293B"/>
          <w:sz w:val="22"/>
        </w:rPr>
        <w:t>في منطقة المخزن: يُزال التمديد، أو تُقدَّم لوحة معدّلة مع طلب تغيير موقّع قبل الصب.</w:t>
      </w:r>
    </w:p>
    <w:p>
      <w:pPr>
        <w:bidi w:val="1"/>
        <w:spacing w:before="0" w:after="40" w:line="269" w:lineRule="auto"/>
        <w:jc w:val="right"/>
      </w:pPr>
      <w:r>
        <w:rPr>
          <w:rFonts w:ascii="Arial" w:hAnsi="Arial" w:cs="Arial" w:eastAsia="Arial"/>
          <w:b/>
          <w:i w:val="0"/>
          <w:color w:val="0B2545"/>
          <w:sz w:val="22"/>
        </w:rPr>
        <w:t xml:space="preserve">9.  </w:t>
      </w:r>
      <w:r>
        <w:rPr>
          <w:rFonts w:ascii="Arial" w:hAnsi="Arial" w:cs="Arial" w:eastAsia="Arial"/>
          <w:b w:val="0"/>
          <w:i w:val="0"/>
          <w:color w:val="1E293B"/>
          <w:sz w:val="22"/>
        </w:rPr>
        <w:t>بعد التصحيح: معاينة، وقياس، وسلك سحب، وطبات، ثم محضر أعمال مخفية. ولا يصدر أمر صب قبل توقيع مهندس الكهرباء والمهندس الإنشائي.</w:t>
      </w:r>
    </w:p>
    <w:p>
      <w:pPr>
        <w:bidi w:val="1"/>
        <w:spacing w:before="0" w:after="40" w:line="269" w:lineRule="auto"/>
        <w:jc w:val="right"/>
      </w:pPr>
      <w:r>
        <w:rPr>
          <w:rFonts w:ascii="Arial" w:hAnsi="Arial" w:cs="Arial" w:eastAsia="Arial"/>
          <w:b/>
          <w:i w:val="0"/>
          <w:color w:val="0B2545"/>
          <w:sz w:val="22"/>
        </w:rPr>
        <w:t xml:space="preserve">10.  </w:t>
      </w:r>
      <w:r>
        <w:rPr>
          <w:rFonts w:ascii="Arial" w:hAnsi="Arial" w:cs="Arial" w:eastAsia="Arial"/>
          <w:b w:val="0"/>
          <w:i w:val="0"/>
          <w:color w:val="1E293B"/>
          <w:sz w:val="22"/>
        </w:rPr>
        <w:t>يُحفظ هذا التقرير مع صور 20 أكتوبر 2026 بوصفه حالة ما قبل التصحيح.</w:t>
      </w:r>
    </w:p>
    <w:p>
      <w:pPr>
        <w:bidi w:val="1"/>
        <w:spacing w:before="240" w:after="80" w:line="269" w:lineRule="auto"/>
        <w:jc w:val="right"/>
        <w:pBdr>
          <w:bottom w:val="single" w:sz="8" w:space="1" w:color="0B2545"/>
        </w:pBdr>
      </w:pPr>
      <w:r>
        <w:rPr>
          <w:rFonts w:ascii="Arial" w:hAnsi="Arial" w:cs="Arial" w:eastAsia="Arial"/>
          <w:b/>
          <w:i w:val="0"/>
          <w:color w:val="0B2545"/>
          <w:sz w:val="26"/>
        </w:rPr>
        <w:t>9. الخلاصة</w:t>
      </w:r>
    </w:p>
    <w:p>
      <w:pPr>
        <w:bidi w:val="1"/>
        <w:spacing w:before="0" w:after="120" w:line="269" w:lineRule="auto"/>
        <w:jc w:val="right"/>
      </w:pPr>
      <w:r>
        <w:rPr>
          <w:rFonts w:ascii="Arial" w:hAnsi="Arial" w:cs="Arial" w:eastAsia="Arial"/>
          <w:b/>
          <w:i w:val="0"/>
          <w:color w:val="1E293B"/>
          <w:sz w:val="22"/>
        </w:rPr>
        <w:t>التنفيذ المصوّر لا يطابق لوحات دور التسوية الثاني الخمس. لا تُصدر مطابقة، ولا يُسمح بالصب. التصحيح ممكن قبل الصب فقط، ثم تجري معاينة جديدة. هذا التقرير لا يُغلق الاستلام.</w:t>
      </w:r>
    </w:p>
    <w:sectPr w:rsidR="00FC693F" w:rsidRPr="0006063C" w:rsidSect="00034616">
      <w:headerReference w:type="default" r:id="rId9"/>
      <w:footerReference w:type="default" r:id="rId10"/>
      <w:pgSz w:w="11906" w:h="16838"/>
      <w:pgMar w:top="907" w:right="794" w:bottom="794" w:left="794"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before="0" w:after="0" w:line="269" w:lineRule="auto"/>
      <w:jc w:val="right"/>
    </w:pPr>
    <w:r>
      <w:rPr>
        <w:rFonts w:ascii="Arial" w:hAnsi="Arial" w:cs="Arial" w:eastAsia="Arial"/>
        <w:b w:val="0"/>
        <w:i w:val="0"/>
        <w:color w:val="475569"/>
        <w:sz w:val="16"/>
      </w:rPr>
      <w:t>مراجعة مكتبية على فيديو — لا تغني عن القياس في الموقع</w:t>
    </w:r>
    <w:r>
      <w:rPr>
        <w:rFonts w:ascii="Arial" w:hAnsi="Arial" w:cs="Arial" w:eastAsia="Arial"/>
        <w:b w:val="0"/>
        <w:i w:val="0"/>
        <w:color w:val="1E293B"/>
        <w:sz w:val="16"/>
      </w:rPr>
      <w:t xml:space="preserve">    </w:t>
    </w:r>
    <w:r>
      <w:rPr>
        <w:rFonts w:ascii="Arial" w:hAnsi="Arial" w:cs="Arial" w:eastAsia="Arial"/>
        <w:b w:val="0"/>
        <w:i w:val="0"/>
        <w:color w:val="475569"/>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1"/>
      <w:spacing w:before="0" w:after="40" w:line="269" w:lineRule="auto"/>
      <w:jc w:val="right"/>
    </w:pPr>
    <w:r>
      <w:rPr>
        <w:rFonts w:ascii="Arial" w:hAnsi="Arial" w:cs="Arial" w:eastAsia="Arial"/>
        <w:b/>
        <w:i w:val="0"/>
        <w:color w:val="0B2545"/>
        <w:sz w:val="16"/>
      </w:rPr>
      <w:t>حسن زاهر علي البارقي</w:t>
    </w:r>
    <w:r>
      <w:rPr>
        <w:rFonts w:ascii="Arial" w:hAnsi="Arial" w:cs="Arial" w:eastAsia="Arial"/>
        <w:b w:val="0"/>
        <w:i w:val="0"/>
        <w:color w:val="475569"/>
        <w:sz w:val="16"/>
      </w:rPr>
      <w:t xml:space="preserve">   ·   تقرير فحص فني   ·   21 أكتوبر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Arial" w:hAnsi="Arial" w:cs="Arial" w:eastAsia="Arial"/>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تقرير فحص فني — تأسيس الكهرباء قبل الصب — دور التسوية الثاني</dc:title>
  <dc:subject>عدم مطابقة — وقف صب</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تقرير فحص</cp:category>
  <dc:language>ar-SA</dc:language>
</cp:coreProperties>
</file>