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B15EA" w14:textId="77777777" w:rsidR="009160F0" w:rsidRDefault="009160F0" w:rsidP="00437DCB">
      <w:pPr>
        <w:spacing w:line="240" w:lineRule="auto"/>
        <w:rPr>
          <w:rFonts w:ascii="Times New Roman" w:hAnsi="Times New Roman" w:cs="Times New Roman"/>
        </w:rPr>
      </w:pPr>
      <w:r>
        <w:rPr>
          <w:rFonts w:ascii="Times New Roman" w:hAnsi="Times New Roman" w:cs="Times New Roman"/>
        </w:rPr>
        <w:t>Matt Shea</w:t>
      </w:r>
    </w:p>
    <w:p w14:paraId="67990BF4" w14:textId="79EE5CCD" w:rsidR="009160F0" w:rsidRDefault="009160F0" w:rsidP="00437DCB">
      <w:pPr>
        <w:spacing w:line="240" w:lineRule="auto"/>
        <w:rPr>
          <w:rFonts w:ascii="Times New Roman" w:hAnsi="Times New Roman" w:cs="Times New Roman"/>
        </w:rPr>
      </w:pPr>
      <w:r>
        <w:rPr>
          <w:rFonts w:ascii="Times New Roman" w:hAnsi="Times New Roman" w:cs="Times New Roman"/>
        </w:rPr>
        <w:t>Module 1</w:t>
      </w:r>
    </w:p>
    <w:p w14:paraId="16A8ED25" w14:textId="2EF2DE2E" w:rsidR="007C37B1" w:rsidRDefault="009160F0" w:rsidP="00437DCB">
      <w:pPr>
        <w:spacing w:line="240" w:lineRule="auto"/>
        <w:rPr>
          <w:rFonts w:ascii="Times New Roman" w:hAnsi="Times New Roman" w:cs="Times New Roman"/>
        </w:rPr>
      </w:pPr>
      <w:r>
        <w:rPr>
          <w:rFonts w:ascii="Times New Roman" w:hAnsi="Times New Roman" w:cs="Times New Roman"/>
        </w:rPr>
        <w:t>10/21/2024</w:t>
      </w:r>
    </w:p>
    <w:p w14:paraId="6091BF82" w14:textId="77777777" w:rsidR="001C10DB" w:rsidRDefault="001C10DB" w:rsidP="00F51650">
      <w:pPr>
        <w:numPr>
          <w:ilvl w:val="0"/>
          <w:numId w:val="1"/>
        </w:numPr>
        <w:spacing w:after="0" w:line="360" w:lineRule="auto"/>
        <w:rPr>
          <w:rFonts w:ascii="Times New Roman" w:hAnsi="Times New Roman" w:cs="Times New Roman"/>
        </w:rPr>
      </w:pPr>
      <w:r w:rsidRPr="001C10DB">
        <w:rPr>
          <w:rFonts w:ascii="Times New Roman" w:hAnsi="Times New Roman" w:cs="Times New Roman"/>
        </w:rPr>
        <w:t xml:space="preserve">Given the </w:t>
      </w:r>
      <w:proofErr w:type="gramStart"/>
      <w:r w:rsidRPr="001C10DB">
        <w:rPr>
          <w:rFonts w:ascii="Times New Roman" w:hAnsi="Times New Roman" w:cs="Times New Roman"/>
        </w:rPr>
        <w:t>provided data</w:t>
      </w:r>
      <w:proofErr w:type="gramEnd"/>
      <w:r w:rsidRPr="001C10DB">
        <w:rPr>
          <w:rFonts w:ascii="Times New Roman" w:hAnsi="Times New Roman" w:cs="Times New Roman"/>
        </w:rPr>
        <w:t>, what are three conclusions that we can draw about crowdfunding campaigns?</w:t>
      </w:r>
    </w:p>
    <w:p w14:paraId="5886B7CD" w14:textId="04A246A7" w:rsidR="001C10DB" w:rsidRDefault="007A5BC0" w:rsidP="00F51650">
      <w:pPr>
        <w:numPr>
          <w:ilvl w:val="1"/>
          <w:numId w:val="1"/>
        </w:numPr>
        <w:spacing w:after="0" w:line="360" w:lineRule="auto"/>
        <w:rPr>
          <w:rFonts w:ascii="Times New Roman" w:hAnsi="Times New Roman" w:cs="Times New Roman"/>
        </w:rPr>
      </w:pPr>
      <w:r>
        <w:rPr>
          <w:rFonts w:ascii="Times New Roman" w:hAnsi="Times New Roman" w:cs="Times New Roman"/>
        </w:rPr>
        <w:t xml:space="preserve">According to this dataset, </w:t>
      </w:r>
      <w:proofErr w:type="gramStart"/>
      <w:r>
        <w:rPr>
          <w:rFonts w:ascii="Times New Roman" w:hAnsi="Times New Roman" w:cs="Times New Roman"/>
        </w:rPr>
        <w:t>plays</w:t>
      </w:r>
      <w:proofErr w:type="gramEnd"/>
      <w:r>
        <w:rPr>
          <w:rFonts w:ascii="Times New Roman" w:hAnsi="Times New Roman" w:cs="Times New Roman"/>
        </w:rPr>
        <w:t xml:space="preserve"> host the most crowdfunding campaigns</w:t>
      </w:r>
    </w:p>
    <w:p w14:paraId="43682FBC" w14:textId="77777777" w:rsidR="00F51650" w:rsidRDefault="007A5BC0" w:rsidP="00F51650">
      <w:pPr>
        <w:numPr>
          <w:ilvl w:val="1"/>
          <w:numId w:val="1"/>
        </w:numPr>
        <w:spacing w:after="0" w:line="360" w:lineRule="auto"/>
        <w:rPr>
          <w:rFonts w:ascii="Times New Roman" w:hAnsi="Times New Roman" w:cs="Times New Roman"/>
        </w:rPr>
      </w:pPr>
      <w:r w:rsidRPr="00F51650">
        <w:rPr>
          <w:rFonts w:ascii="Times New Roman" w:hAnsi="Times New Roman" w:cs="Times New Roman"/>
        </w:rPr>
        <w:t>While the subcategories of audio and world music rarely host crowdfunding campaigns, their respective campaigns held the highest success rate of 100%</w:t>
      </w:r>
      <w:r w:rsidR="007D6C60" w:rsidRPr="00F51650">
        <w:rPr>
          <w:rFonts w:ascii="Times New Roman" w:hAnsi="Times New Roman" w:cs="Times New Roman"/>
        </w:rPr>
        <w:t>. It can be said that more businesses within th</w:t>
      </w:r>
      <w:r w:rsidR="005A4D44" w:rsidRPr="00F51650">
        <w:rPr>
          <w:rFonts w:ascii="Times New Roman" w:hAnsi="Times New Roman" w:cs="Times New Roman"/>
        </w:rPr>
        <w:t>e industry of audio/world music</w:t>
      </w:r>
      <w:r w:rsidR="007D6C60" w:rsidRPr="00F51650">
        <w:rPr>
          <w:rFonts w:ascii="Times New Roman" w:hAnsi="Times New Roman" w:cs="Times New Roman"/>
        </w:rPr>
        <w:t xml:space="preserve"> should </w:t>
      </w:r>
      <w:r w:rsidR="005A4D44" w:rsidRPr="00F51650">
        <w:rPr>
          <w:rFonts w:ascii="Times New Roman" w:hAnsi="Times New Roman" w:cs="Times New Roman"/>
        </w:rPr>
        <w:t>host</w:t>
      </w:r>
      <w:r w:rsidR="007D6C60" w:rsidRPr="00F51650">
        <w:rPr>
          <w:rFonts w:ascii="Times New Roman" w:hAnsi="Times New Roman" w:cs="Times New Roman"/>
        </w:rPr>
        <w:t xml:space="preserve"> crowdfunding campaigns</w:t>
      </w:r>
    </w:p>
    <w:p w14:paraId="058B7FB3" w14:textId="70C4A7D9" w:rsidR="00BF5EAD" w:rsidRDefault="00BF5EAD" w:rsidP="00F51650">
      <w:pPr>
        <w:numPr>
          <w:ilvl w:val="1"/>
          <w:numId w:val="1"/>
        </w:numPr>
        <w:spacing w:after="0" w:line="360" w:lineRule="auto"/>
        <w:rPr>
          <w:rFonts w:ascii="Times New Roman" w:hAnsi="Times New Roman" w:cs="Times New Roman"/>
        </w:rPr>
      </w:pPr>
      <w:r w:rsidRPr="00F51650">
        <w:rPr>
          <w:rFonts w:ascii="Times New Roman" w:hAnsi="Times New Roman" w:cs="Times New Roman"/>
        </w:rPr>
        <w:t>Compared to other months, July is when most campaigns were conducted. As a result, July is when most campaigns were successful. It</w:t>
      </w:r>
      <w:r w:rsidR="005A4D44" w:rsidRPr="00F51650">
        <w:rPr>
          <w:rFonts w:ascii="Times New Roman" w:hAnsi="Times New Roman" w:cs="Times New Roman"/>
        </w:rPr>
        <w:t xml:space="preserve"> may be inferenced that, since over </w:t>
      </w:r>
      <w:r w:rsidR="003A168B" w:rsidRPr="00F51650">
        <w:rPr>
          <w:rFonts w:ascii="Times New Roman" w:hAnsi="Times New Roman" w:cs="Times New Roman"/>
        </w:rPr>
        <w:t>75%</w:t>
      </w:r>
      <w:r w:rsidR="005A4D44" w:rsidRPr="00F51650">
        <w:rPr>
          <w:rFonts w:ascii="Times New Roman" w:hAnsi="Times New Roman" w:cs="Times New Roman"/>
        </w:rPr>
        <w:t xml:space="preserve"> of the examples </w:t>
      </w:r>
      <w:r w:rsidR="003A168B" w:rsidRPr="00F51650">
        <w:rPr>
          <w:rFonts w:ascii="Times New Roman" w:hAnsi="Times New Roman" w:cs="Times New Roman"/>
        </w:rPr>
        <w:t>in this dataset</w:t>
      </w:r>
      <w:r w:rsidR="005A4D44" w:rsidRPr="00F51650">
        <w:rPr>
          <w:rFonts w:ascii="Times New Roman" w:hAnsi="Times New Roman" w:cs="Times New Roman"/>
        </w:rPr>
        <w:t xml:space="preserve"> were hosted in the US, people are more likely to </w:t>
      </w:r>
      <w:r w:rsidRPr="00F51650">
        <w:rPr>
          <w:rFonts w:ascii="Times New Roman" w:hAnsi="Times New Roman" w:cs="Times New Roman"/>
        </w:rPr>
        <w:t>participate in activities (concerts, plays, etc.) when it is warmer outside. This could be a good indication of when to host a campaign</w:t>
      </w:r>
    </w:p>
    <w:p w14:paraId="6AB12BE1" w14:textId="77777777" w:rsidR="00F51650" w:rsidRPr="00F51650" w:rsidRDefault="00F51650" w:rsidP="00F51650">
      <w:pPr>
        <w:spacing w:after="0" w:line="360" w:lineRule="auto"/>
        <w:ind w:left="1440"/>
        <w:rPr>
          <w:rFonts w:ascii="Times New Roman" w:hAnsi="Times New Roman" w:cs="Times New Roman"/>
        </w:rPr>
      </w:pPr>
    </w:p>
    <w:p w14:paraId="12ABF2A2" w14:textId="2CF8EBBB" w:rsidR="00BF5EAD" w:rsidRDefault="00BF5EAD" w:rsidP="00F51650">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are some limitations of this data set?</w:t>
      </w:r>
    </w:p>
    <w:p w14:paraId="1EADB7A9" w14:textId="7014F1DE" w:rsidR="003A168B" w:rsidRDefault="003A168B" w:rsidP="00F51650">
      <w:pPr>
        <w:pStyle w:val="ListParagraph"/>
        <w:numPr>
          <w:ilvl w:val="1"/>
          <w:numId w:val="1"/>
        </w:numPr>
        <w:spacing w:line="360" w:lineRule="auto"/>
        <w:rPr>
          <w:rFonts w:ascii="Times New Roman" w:hAnsi="Times New Roman" w:cs="Times New Roman"/>
        </w:rPr>
      </w:pPr>
      <w:r>
        <w:rPr>
          <w:rFonts w:ascii="Times New Roman" w:hAnsi="Times New Roman" w:cs="Times New Roman"/>
        </w:rPr>
        <w:t>As stated before, over 75% of examples of crowdfunding campaigns (763 out of 1,000) were hosted in the US. If the company who gathered the data plans to launch a campaign outside of the US, this could lead to a problem. The data set is not a great indication of how other developed countries conduct crowdfunding campaigns</w:t>
      </w:r>
    </w:p>
    <w:p w14:paraId="7560B678" w14:textId="76AABEE3" w:rsidR="003A168B" w:rsidRDefault="00CB3CF2" w:rsidP="00F51650">
      <w:pPr>
        <w:pStyle w:val="ListParagraph"/>
        <w:numPr>
          <w:ilvl w:val="1"/>
          <w:numId w:val="1"/>
        </w:numPr>
        <w:spacing w:line="360" w:lineRule="auto"/>
        <w:rPr>
          <w:rFonts w:ascii="Times New Roman" w:hAnsi="Times New Roman" w:cs="Times New Roman"/>
        </w:rPr>
      </w:pPr>
      <w:r>
        <w:rPr>
          <w:rFonts w:ascii="Times New Roman" w:hAnsi="Times New Roman" w:cs="Times New Roman"/>
        </w:rPr>
        <w:t>Since most of the campaigns involved plays and theatre (344 out of 1,000) that of course takes the focus away from the other categories in which fundraising is held. Other than the indication that plays are heavily involved in crowdfunding and how they are received, it does not provide much other insight. Maybe the dataset was curated purposely to have a focus on plays, but if the potential campaign that’s held after analyzing this data is outside of the theatre industry, over one-third of this data can be considered irrelevant</w:t>
      </w:r>
    </w:p>
    <w:p w14:paraId="58C04626" w14:textId="5ED84A48" w:rsidR="00DA7DED" w:rsidRDefault="00DA7DED" w:rsidP="00F51650">
      <w:pPr>
        <w:pStyle w:val="ListParagraph"/>
        <w:numPr>
          <w:ilvl w:val="1"/>
          <w:numId w:val="1"/>
        </w:numPr>
        <w:spacing w:line="360" w:lineRule="auto"/>
        <w:rPr>
          <w:rFonts w:ascii="Times New Roman" w:hAnsi="Times New Roman" w:cs="Times New Roman"/>
        </w:rPr>
      </w:pPr>
      <w:r>
        <w:rPr>
          <w:rFonts w:ascii="Times New Roman" w:hAnsi="Times New Roman" w:cs="Times New Roman"/>
        </w:rPr>
        <w:lastRenderedPageBreak/>
        <w:t>Finally, this dataset only focuses on campaigns launched in 2010-2020. There are most likely successful campaigns launched outside</w:t>
      </w:r>
      <w:r w:rsidR="00591F89">
        <w:rPr>
          <w:rFonts w:ascii="Times New Roman" w:hAnsi="Times New Roman" w:cs="Times New Roman"/>
        </w:rPr>
        <w:t xml:space="preserve"> of</w:t>
      </w:r>
      <w:r>
        <w:rPr>
          <w:rFonts w:ascii="Times New Roman" w:hAnsi="Times New Roman" w:cs="Times New Roman"/>
        </w:rPr>
        <w:t xml:space="preserve"> this </w:t>
      </w:r>
      <w:r w:rsidR="00591F89">
        <w:rPr>
          <w:rFonts w:ascii="Times New Roman" w:hAnsi="Times New Roman" w:cs="Times New Roman"/>
        </w:rPr>
        <w:t xml:space="preserve">decade </w:t>
      </w:r>
      <w:r>
        <w:rPr>
          <w:rFonts w:ascii="Times New Roman" w:hAnsi="Times New Roman" w:cs="Times New Roman"/>
        </w:rPr>
        <w:t>that could be helpful to study</w:t>
      </w:r>
    </w:p>
    <w:p w14:paraId="0E308FA0" w14:textId="77777777" w:rsidR="00F51650" w:rsidRDefault="00F51650" w:rsidP="00F51650">
      <w:pPr>
        <w:pStyle w:val="ListParagraph"/>
        <w:spacing w:line="360" w:lineRule="auto"/>
        <w:ind w:left="1440"/>
        <w:rPr>
          <w:rFonts w:ascii="Times New Roman" w:hAnsi="Times New Roman" w:cs="Times New Roman"/>
        </w:rPr>
      </w:pPr>
    </w:p>
    <w:p w14:paraId="31B65F94" w14:textId="77777777" w:rsidR="00CB3CF2" w:rsidRPr="00CB3CF2" w:rsidRDefault="00CB3CF2" w:rsidP="00F51650">
      <w:pPr>
        <w:pStyle w:val="ListParagraph"/>
        <w:numPr>
          <w:ilvl w:val="0"/>
          <w:numId w:val="1"/>
        </w:numPr>
        <w:spacing w:line="360" w:lineRule="auto"/>
        <w:rPr>
          <w:rFonts w:ascii="Times New Roman" w:hAnsi="Times New Roman" w:cs="Times New Roman"/>
        </w:rPr>
      </w:pPr>
      <w:r w:rsidRPr="00CB3CF2">
        <w:rPr>
          <w:rFonts w:ascii="Times New Roman" w:hAnsi="Times New Roman" w:cs="Times New Roman"/>
        </w:rPr>
        <w:t>What are some other possible tables and/or graphs that we could create, and what additional value would they provide?</w:t>
      </w:r>
    </w:p>
    <w:p w14:paraId="21E87BF1" w14:textId="3AF18978" w:rsidR="00CB3CF2" w:rsidRDefault="00DA7DED" w:rsidP="00F51650">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It could be insightful to have a graph </w:t>
      </w:r>
      <w:r w:rsidR="002F171D">
        <w:rPr>
          <w:rFonts w:ascii="Times New Roman" w:hAnsi="Times New Roman" w:cs="Times New Roman"/>
        </w:rPr>
        <w:t xml:space="preserve">featuring </w:t>
      </w:r>
      <w:r w:rsidR="00591F89">
        <w:rPr>
          <w:rFonts w:ascii="Times New Roman" w:hAnsi="Times New Roman" w:cs="Times New Roman"/>
        </w:rPr>
        <w:t>“</w:t>
      </w:r>
      <w:r w:rsidR="002F171D">
        <w:rPr>
          <w:rFonts w:ascii="Times New Roman" w:hAnsi="Times New Roman" w:cs="Times New Roman"/>
        </w:rPr>
        <w:t>country</w:t>
      </w:r>
      <w:r w:rsidR="00591F89">
        <w:rPr>
          <w:rFonts w:ascii="Times New Roman" w:hAnsi="Times New Roman" w:cs="Times New Roman"/>
        </w:rPr>
        <w:t>”</w:t>
      </w:r>
      <w:r w:rsidR="002F171D">
        <w:rPr>
          <w:rFonts w:ascii="Times New Roman" w:hAnsi="Times New Roman" w:cs="Times New Roman"/>
        </w:rPr>
        <w:t xml:space="preserve"> and </w:t>
      </w:r>
      <w:r w:rsidR="00591F89">
        <w:rPr>
          <w:rFonts w:ascii="Times New Roman" w:hAnsi="Times New Roman" w:cs="Times New Roman"/>
        </w:rPr>
        <w:t>“</w:t>
      </w:r>
      <w:r w:rsidR="002F171D">
        <w:rPr>
          <w:rFonts w:ascii="Times New Roman" w:hAnsi="Times New Roman" w:cs="Times New Roman"/>
        </w:rPr>
        <w:t>outcome</w:t>
      </w:r>
      <w:r w:rsidR="00591F89">
        <w:rPr>
          <w:rFonts w:ascii="Times New Roman" w:hAnsi="Times New Roman" w:cs="Times New Roman"/>
        </w:rPr>
        <w:t>”</w:t>
      </w:r>
      <w:r w:rsidR="002F171D">
        <w:rPr>
          <w:rFonts w:ascii="Times New Roman" w:hAnsi="Times New Roman" w:cs="Times New Roman"/>
        </w:rPr>
        <w:t xml:space="preserve"> on the X axis and </w:t>
      </w:r>
      <w:r w:rsidR="00591F89">
        <w:rPr>
          <w:rFonts w:ascii="Times New Roman" w:hAnsi="Times New Roman" w:cs="Times New Roman"/>
        </w:rPr>
        <w:t>“</w:t>
      </w:r>
      <w:r w:rsidR="002F171D">
        <w:rPr>
          <w:rFonts w:ascii="Times New Roman" w:hAnsi="Times New Roman" w:cs="Times New Roman"/>
        </w:rPr>
        <w:t>outcome</w:t>
      </w:r>
      <w:r w:rsidR="00591F89">
        <w:rPr>
          <w:rFonts w:ascii="Times New Roman" w:hAnsi="Times New Roman" w:cs="Times New Roman"/>
        </w:rPr>
        <w:t>”</w:t>
      </w:r>
      <w:r w:rsidR="002F171D">
        <w:rPr>
          <w:rFonts w:ascii="Times New Roman" w:hAnsi="Times New Roman" w:cs="Times New Roman"/>
        </w:rPr>
        <w:t xml:space="preserve"> </w:t>
      </w:r>
      <w:r w:rsidR="00591F89">
        <w:rPr>
          <w:rFonts w:ascii="Times New Roman" w:hAnsi="Times New Roman" w:cs="Times New Roman"/>
        </w:rPr>
        <w:t xml:space="preserve">under column and value. After a bar graph is created, it gives a representation of the </w:t>
      </w:r>
      <w:r w:rsidR="00F51650">
        <w:rPr>
          <w:rFonts w:ascii="Times New Roman" w:hAnsi="Times New Roman" w:cs="Times New Roman"/>
        </w:rPr>
        <w:t>number of failed, successful, lived, and canceled by each country</w:t>
      </w:r>
      <w:r w:rsidR="00591F89" w:rsidRPr="00F51650">
        <w:rPr>
          <w:rFonts w:ascii="Times New Roman" w:hAnsi="Times New Roman" w:cs="Times New Roman"/>
        </w:rPr>
        <w:t xml:space="preserve"> </w:t>
      </w:r>
    </w:p>
    <w:p w14:paraId="06652572" w14:textId="77777777" w:rsidR="00F51650" w:rsidRDefault="00F51650" w:rsidP="00F51650">
      <w:pPr>
        <w:pStyle w:val="ListParagraph"/>
        <w:spacing w:line="360" w:lineRule="auto"/>
        <w:ind w:left="1440"/>
        <w:rPr>
          <w:rFonts w:ascii="Times New Roman" w:hAnsi="Times New Roman" w:cs="Times New Roman"/>
        </w:rPr>
      </w:pPr>
      <w:r>
        <w:rPr>
          <w:rFonts w:ascii="Times New Roman" w:hAnsi="Times New Roman" w:cs="Times New Roman"/>
        </w:rPr>
        <w:t>EX:</w:t>
      </w:r>
    </w:p>
    <w:p w14:paraId="566E2BE3" w14:textId="795D2BC5" w:rsidR="00F51650" w:rsidRPr="00F51650" w:rsidRDefault="00F51650" w:rsidP="00F51650">
      <w:pPr>
        <w:pStyle w:val="ListParagraph"/>
        <w:spacing w:line="360" w:lineRule="auto"/>
        <w:ind w:left="1440"/>
        <w:rPr>
          <w:rFonts w:ascii="Times New Roman" w:hAnsi="Times New Roman" w:cs="Times New Roman"/>
        </w:rPr>
      </w:pPr>
      <w:r w:rsidRPr="00F51650">
        <w:rPr>
          <w:noProof/>
        </w:rPr>
        <w:t xml:space="preserve"> </w:t>
      </w:r>
      <w:r>
        <w:rPr>
          <w:noProof/>
        </w:rPr>
        <w:drawing>
          <wp:inline distT="0" distB="0" distL="0" distR="0" wp14:anchorId="332DB282" wp14:editId="795846DE">
            <wp:extent cx="4343400" cy="2743200"/>
            <wp:effectExtent l="0" t="0" r="0" b="0"/>
            <wp:docPr id="1683208168" name="Chart 1">
              <a:extLst xmlns:a="http://schemas.openxmlformats.org/drawingml/2006/main">
                <a:ext uri="{FF2B5EF4-FFF2-40B4-BE49-F238E27FC236}">
                  <a16:creationId xmlns:a16="http://schemas.microsoft.com/office/drawing/2014/main" id="{CB559F84-2177-6491-6F64-EDC92D657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893626B" w14:textId="77777777" w:rsidR="00CB3CF2" w:rsidRPr="00CB3CF2" w:rsidRDefault="00CB3CF2" w:rsidP="00CB3CF2">
      <w:pPr>
        <w:spacing w:line="240" w:lineRule="auto"/>
        <w:ind w:left="1080"/>
        <w:rPr>
          <w:rFonts w:ascii="Times New Roman" w:hAnsi="Times New Roman" w:cs="Times New Roman"/>
        </w:rPr>
      </w:pPr>
    </w:p>
    <w:p w14:paraId="57C849B5" w14:textId="77777777" w:rsidR="001C10DB" w:rsidRDefault="001C10DB" w:rsidP="009160F0">
      <w:pPr>
        <w:spacing w:line="240" w:lineRule="auto"/>
        <w:rPr>
          <w:rFonts w:ascii="Times New Roman" w:hAnsi="Times New Roman" w:cs="Times New Roman"/>
        </w:rPr>
      </w:pPr>
    </w:p>
    <w:p w14:paraId="6C81BFA6" w14:textId="77777777" w:rsidR="009160F0" w:rsidRPr="009160F0" w:rsidRDefault="009160F0" w:rsidP="009160F0">
      <w:pPr>
        <w:spacing w:line="240" w:lineRule="auto"/>
        <w:jc w:val="center"/>
        <w:rPr>
          <w:rFonts w:ascii="Times New Roman" w:hAnsi="Times New Roman" w:cs="Times New Roman"/>
        </w:rPr>
      </w:pPr>
    </w:p>
    <w:sectPr w:rsidR="009160F0" w:rsidRPr="0091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71FDC"/>
    <w:multiLevelType w:val="multilevel"/>
    <w:tmpl w:val="09AA1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F0"/>
    <w:rsid w:val="001C10DB"/>
    <w:rsid w:val="002F171D"/>
    <w:rsid w:val="0034497E"/>
    <w:rsid w:val="003A168B"/>
    <w:rsid w:val="00437DCB"/>
    <w:rsid w:val="00591F89"/>
    <w:rsid w:val="005A4D44"/>
    <w:rsid w:val="0060194C"/>
    <w:rsid w:val="00701CEB"/>
    <w:rsid w:val="007A5BC0"/>
    <w:rsid w:val="007C37B1"/>
    <w:rsid w:val="007D6C60"/>
    <w:rsid w:val="00805F91"/>
    <w:rsid w:val="009160F0"/>
    <w:rsid w:val="00A306A9"/>
    <w:rsid w:val="00BF5EAD"/>
    <w:rsid w:val="00C264F1"/>
    <w:rsid w:val="00CB3CF2"/>
    <w:rsid w:val="00CC6E16"/>
    <w:rsid w:val="00D044AB"/>
    <w:rsid w:val="00DA7DED"/>
    <w:rsid w:val="00F5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2B7A"/>
  <w15:chartTrackingRefBased/>
  <w15:docId w15:val="{D30CFC9D-7256-4C47-B898-B0B3F091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0F0"/>
    <w:rPr>
      <w:rFonts w:eastAsiaTheme="majorEastAsia" w:cstheme="majorBidi"/>
      <w:color w:val="272727" w:themeColor="text1" w:themeTint="D8"/>
    </w:rPr>
  </w:style>
  <w:style w:type="paragraph" w:styleId="Title">
    <w:name w:val="Title"/>
    <w:basedOn w:val="Normal"/>
    <w:next w:val="Normal"/>
    <w:link w:val="TitleChar"/>
    <w:uiPriority w:val="10"/>
    <w:qFormat/>
    <w:rsid w:val="00916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0F0"/>
    <w:pPr>
      <w:spacing w:before="160"/>
      <w:jc w:val="center"/>
    </w:pPr>
    <w:rPr>
      <w:i/>
      <w:iCs/>
      <w:color w:val="404040" w:themeColor="text1" w:themeTint="BF"/>
    </w:rPr>
  </w:style>
  <w:style w:type="character" w:customStyle="1" w:styleId="QuoteChar">
    <w:name w:val="Quote Char"/>
    <w:basedOn w:val="DefaultParagraphFont"/>
    <w:link w:val="Quote"/>
    <w:uiPriority w:val="29"/>
    <w:rsid w:val="009160F0"/>
    <w:rPr>
      <w:i/>
      <w:iCs/>
      <w:color w:val="404040" w:themeColor="text1" w:themeTint="BF"/>
    </w:rPr>
  </w:style>
  <w:style w:type="paragraph" w:styleId="ListParagraph">
    <w:name w:val="List Paragraph"/>
    <w:basedOn w:val="Normal"/>
    <w:uiPriority w:val="34"/>
    <w:qFormat/>
    <w:rsid w:val="009160F0"/>
    <w:pPr>
      <w:ind w:left="720"/>
      <w:contextualSpacing/>
    </w:pPr>
  </w:style>
  <w:style w:type="character" w:styleId="IntenseEmphasis">
    <w:name w:val="Intense Emphasis"/>
    <w:basedOn w:val="DefaultParagraphFont"/>
    <w:uiPriority w:val="21"/>
    <w:qFormat/>
    <w:rsid w:val="009160F0"/>
    <w:rPr>
      <w:i/>
      <w:iCs/>
      <w:color w:val="0F4761" w:themeColor="accent1" w:themeShade="BF"/>
    </w:rPr>
  </w:style>
  <w:style w:type="paragraph" w:styleId="IntenseQuote">
    <w:name w:val="Intense Quote"/>
    <w:basedOn w:val="Normal"/>
    <w:next w:val="Normal"/>
    <w:link w:val="IntenseQuoteChar"/>
    <w:uiPriority w:val="30"/>
    <w:qFormat/>
    <w:rsid w:val="00916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0F0"/>
    <w:rPr>
      <w:i/>
      <w:iCs/>
      <w:color w:val="0F4761" w:themeColor="accent1" w:themeShade="BF"/>
    </w:rPr>
  </w:style>
  <w:style w:type="character" w:styleId="IntenseReference">
    <w:name w:val="Intense Reference"/>
    <w:basedOn w:val="DefaultParagraphFont"/>
    <w:uiPriority w:val="32"/>
    <w:qFormat/>
    <w:rsid w:val="00916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855752">
      <w:bodyDiv w:val="1"/>
      <w:marLeft w:val="0"/>
      <w:marRight w:val="0"/>
      <w:marTop w:val="0"/>
      <w:marBottom w:val="0"/>
      <w:divBdr>
        <w:top w:val="none" w:sz="0" w:space="0" w:color="auto"/>
        <w:left w:val="none" w:sz="0" w:space="0" w:color="auto"/>
        <w:bottom w:val="none" w:sz="0" w:space="0" w:color="auto"/>
        <w:right w:val="none" w:sz="0" w:space="0" w:color="auto"/>
      </w:divBdr>
    </w:div>
    <w:div w:id="851915272">
      <w:bodyDiv w:val="1"/>
      <w:marLeft w:val="0"/>
      <w:marRight w:val="0"/>
      <w:marTop w:val="0"/>
      <w:marBottom w:val="0"/>
      <w:divBdr>
        <w:top w:val="none" w:sz="0" w:space="0" w:color="auto"/>
        <w:left w:val="none" w:sz="0" w:space="0" w:color="auto"/>
        <w:bottom w:val="none" w:sz="0" w:space="0" w:color="auto"/>
        <w:right w:val="none" w:sz="0" w:space="0" w:color="auto"/>
      </w:divBdr>
    </w:div>
    <w:div w:id="15106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am\Desktop\GitLab%20Working\data-pt-east-october-100724-mtth-cons-a\01%20-%20Excel%20Unit\Module%2001%20Challenge%20-%20Due%2010-21-2024\CrowdfundingBook%20save%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canceled</c:v>
          </c:tx>
          <c:spPr>
            <a:solidFill>
              <a:schemeClr val="accent1"/>
            </a:solidFill>
            <a:ln>
              <a:noFill/>
            </a:ln>
            <a:effectLst/>
          </c:spPr>
          <c:invertIfNegative val="0"/>
          <c:cat>
            <c:strLit>
              <c:ptCount val="7"/>
              <c:pt idx="0">
                <c:v>AU</c:v>
              </c:pt>
              <c:pt idx="1">
                <c:v>CA</c:v>
              </c:pt>
              <c:pt idx="2">
                <c:v>CH</c:v>
              </c:pt>
              <c:pt idx="3">
                <c:v>DK</c:v>
              </c:pt>
              <c:pt idx="4">
                <c:v>GB</c:v>
              </c:pt>
              <c:pt idx="5">
                <c:v>IT</c:v>
              </c:pt>
              <c:pt idx="6">
                <c:v>US</c:v>
              </c:pt>
            </c:strLit>
          </c:cat>
          <c:val>
            <c:numLit>
              <c:formatCode>General</c:formatCode>
              <c:ptCount val="7"/>
              <c:pt idx="0">
                <c:v>2</c:v>
              </c:pt>
              <c:pt idx="1">
                <c:v>2</c:v>
              </c:pt>
              <c:pt idx="2">
                <c:v>4</c:v>
              </c:pt>
              <c:pt idx="3">
                <c:v>1</c:v>
              </c:pt>
              <c:pt idx="4">
                <c:v>1</c:v>
              </c:pt>
              <c:pt idx="5">
                <c:v>3</c:v>
              </c:pt>
              <c:pt idx="6">
                <c:v>44</c:v>
              </c:pt>
            </c:numLit>
          </c:val>
          <c:extLst>
            <c:ext xmlns:c16="http://schemas.microsoft.com/office/drawing/2014/chart" uri="{C3380CC4-5D6E-409C-BE32-E72D297353CC}">
              <c16:uniqueId val="{00000000-5FCE-4B34-8438-702BCDC8282F}"/>
            </c:ext>
          </c:extLst>
        </c:ser>
        <c:ser>
          <c:idx val="1"/>
          <c:order val="1"/>
          <c:tx>
            <c:v>failed</c:v>
          </c:tx>
          <c:spPr>
            <a:solidFill>
              <a:schemeClr val="accent2"/>
            </a:solidFill>
            <a:ln>
              <a:noFill/>
            </a:ln>
            <a:effectLst/>
          </c:spPr>
          <c:invertIfNegative val="0"/>
          <c:cat>
            <c:strLit>
              <c:ptCount val="7"/>
              <c:pt idx="0">
                <c:v>AU</c:v>
              </c:pt>
              <c:pt idx="1">
                <c:v>CA</c:v>
              </c:pt>
              <c:pt idx="2">
                <c:v>CH</c:v>
              </c:pt>
              <c:pt idx="3">
                <c:v>DK</c:v>
              </c:pt>
              <c:pt idx="4">
                <c:v>GB</c:v>
              </c:pt>
              <c:pt idx="5">
                <c:v>IT</c:v>
              </c:pt>
              <c:pt idx="6">
                <c:v>US</c:v>
              </c:pt>
            </c:strLit>
          </c:cat>
          <c:val>
            <c:numLit>
              <c:formatCode>General</c:formatCode>
              <c:ptCount val="7"/>
              <c:pt idx="0">
                <c:v>16</c:v>
              </c:pt>
              <c:pt idx="1">
                <c:v>19</c:v>
              </c:pt>
              <c:pt idx="2">
                <c:v>6</c:v>
              </c:pt>
              <c:pt idx="3">
                <c:v>12</c:v>
              </c:pt>
              <c:pt idx="4">
                <c:v>18</c:v>
              </c:pt>
              <c:pt idx="5">
                <c:v>19</c:v>
              </c:pt>
              <c:pt idx="6">
                <c:v>274</c:v>
              </c:pt>
            </c:numLit>
          </c:val>
          <c:extLst>
            <c:ext xmlns:c16="http://schemas.microsoft.com/office/drawing/2014/chart" uri="{C3380CC4-5D6E-409C-BE32-E72D297353CC}">
              <c16:uniqueId val="{00000001-5FCE-4B34-8438-702BCDC8282F}"/>
            </c:ext>
          </c:extLst>
        </c:ser>
        <c:ser>
          <c:idx val="2"/>
          <c:order val="2"/>
          <c:tx>
            <c:v>live</c:v>
          </c:tx>
          <c:spPr>
            <a:solidFill>
              <a:schemeClr val="accent3"/>
            </a:solidFill>
            <a:ln>
              <a:noFill/>
            </a:ln>
            <a:effectLst/>
          </c:spPr>
          <c:invertIfNegative val="0"/>
          <c:cat>
            <c:strLit>
              <c:ptCount val="7"/>
              <c:pt idx="0">
                <c:v>AU</c:v>
              </c:pt>
              <c:pt idx="1">
                <c:v>CA</c:v>
              </c:pt>
              <c:pt idx="2">
                <c:v>CH</c:v>
              </c:pt>
              <c:pt idx="3">
                <c:v>DK</c:v>
              </c:pt>
              <c:pt idx="4">
                <c:v>GB</c:v>
              </c:pt>
              <c:pt idx="5">
                <c:v>IT</c:v>
              </c:pt>
              <c:pt idx="6">
                <c:v>US</c:v>
              </c:pt>
            </c:strLit>
          </c:cat>
          <c:val>
            <c:numLit>
              <c:formatCode>General</c:formatCode>
              <c:ptCount val="7"/>
              <c:pt idx="0">
                <c:v>1</c:v>
              </c:pt>
              <c:pt idx="1">
                <c:v>1</c:v>
              </c:pt>
              <c:pt idx="2">
                <c:v>1</c:v>
              </c:pt>
              <c:pt idx="3">
                <c:v>1</c:v>
              </c:pt>
              <c:pt idx="4">
                <c:v>1</c:v>
              </c:pt>
              <c:pt idx="5">
                <c:v>0</c:v>
              </c:pt>
              <c:pt idx="6">
                <c:v>9</c:v>
              </c:pt>
            </c:numLit>
          </c:val>
          <c:extLst>
            <c:ext xmlns:c16="http://schemas.microsoft.com/office/drawing/2014/chart" uri="{C3380CC4-5D6E-409C-BE32-E72D297353CC}">
              <c16:uniqueId val="{00000002-5FCE-4B34-8438-702BCDC8282F}"/>
            </c:ext>
          </c:extLst>
        </c:ser>
        <c:ser>
          <c:idx val="3"/>
          <c:order val="3"/>
          <c:tx>
            <c:v>successful</c:v>
          </c:tx>
          <c:spPr>
            <a:solidFill>
              <a:schemeClr val="accent4"/>
            </a:solidFill>
            <a:ln>
              <a:noFill/>
            </a:ln>
            <a:effectLst/>
          </c:spPr>
          <c:invertIfNegative val="0"/>
          <c:cat>
            <c:strLit>
              <c:ptCount val="7"/>
              <c:pt idx="0">
                <c:v>AU</c:v>
              </c:pt>
              <c:pt idx="1">
                <c:v>CA</c:v>
              </c:pt>
              <c:pt idx="2">
                <c:v>CH</c:v>
              </c:pt>
              <c:pt idx="3">
                <c:v>DK</c:v>
              </c:pt>
              <c:pt idx="4">
                <c:v>GB</c:v>
              </c:pt>
              <c:pt idx="5">
                <c:v>IT</c:v>
              </c:pt>
              <c:pt idx="6">
                <c:v>US</c:v>
              </c:pt>
            </c:strLit>
          </c:cat>
          <c:val>
            <c:numLit>
              <c:formatCode>General</c:formatCode>
              <c:ptCount val="7"/>
              <c:pt idx="0">
                <c:v>24</c:v>
              </c:pt>
              <c:pt idx="1">
                <c:v>22</c:v>
              </c:pt>
              <c:pt idx="2">
                <c:v>12</c:v>
              </c:pt>
              <c:pt idx="3">
                <c:v>17</c:v>
              </c:pt>
              <c:pt idx="4">
                <c:v>28</c:v>
              </c:pt>
              <c:pt idx="5">
                <c:v>26</c:v>
              </c:pt>
              <c:pt idx="6">
                <c:v>436</c:v>
              </c:pt>
            </c:numLit>
          </c:val>
          <c:extLst>
            <c:ext xmlns:c16="http://schemas.microsoft.com/office/drawing/2014/chart" uri="{C3380CC4-5D6E-409C-BE32-E72D297353CC}">
              <c16:uniqueId val="{00000003-5FCE-4B34-8438-702BCDC8282F}"/>
            </c:ext>
          </c:extLst>
        </c:ser>
        <c:dLbls>
          <c:showLegendKey val="0"/>
          <c:showVal val="0"/>
          <c:showCatName val="0"/>
          <c:showSerName val="0"/>
          <c:showPercent val="0"/>
          <c:showBubbleSize val="0"/>
        </c:dLbls>
        <c:gapWidth val="219"/>
        <c:overlap val="-27"/>
        <c:axId val="404208496"/>
        <c:axId val="404211376"/>
      </c:barChart>
      <c:catAx>
        <c:axId val="40420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11376"/>
        <c:crosses val="autoZero"/>
        <c:auto val="1"/>
        <c:lblAlgn val="ctr"/>
        <c:lblOffset val="100"/>
        <c:noMultiLvlLbl val="0"/>
      </c:catAx>
      <c:valAx>
        <c:axId val="40421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08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shea</dc:creator>
  <cp:keywords/>
  <dc:description/>
  <cp:lastModifiedBy>matt shea</cp:lastModifiedBy>
  <cp:revision>2</cp:revision>
  <dcterms:created xsi:type="dcterms:W3CDTF">2024-10-21T19:26:00Z</dcterms:created>
  <dcterms:modified xsi:type="dcterms:W3CDTF">2024-10-21T19:26:00Z</dcterms:modified>
</cp:coreProperties>
</file>