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ighlights"/>
      <w:bookmarkEnd w:id="21"/>
      <w:r>
        <w:t xml:space="preserve">Highlights</w:t>
      </w:r>
    </w:p>
    <w:p>
      <w:pPr>
        <w:numPr>
          <w:numId w:val="1001"/>
          <w:ilvl w:val="0"/>
        </w:numPr>
      </w:pPr>
      <w:r>
        <w:t xml:space="preserve">We develop a novel method for detecting parasite-induced host mortality.</w:t>
      </w:r>
    </w:p>
    <w:p>
      <w:pPr>
        <w:numPr>
          <w:numId w:val="1001"/>
          <w:ilvl w:val="0"/>
        </w:numPr>
      </w:pPr>
      <w:r>
        <w:t xml:space="preserve">Our method outperforms previous methods for detecting parasite-induced host mortality.</w:t>
      </w:r>
    </w:p>
    <w:p>
      <w:pPr>
        <w:numPr>
          <w:numId w:val="1001"/>
          <w:ilvl w:val="0"/>
        </w:numPr>
      </w:pPr>
      <w:r>
        <w:t xml:space="preserve">Our method correctly detects parasite-induced host mortality in empirical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520b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a38f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