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rFonts w:hint="eastAsia" w:ascii="Times New Roman" w:hAnsi="Times New Roman" w:eastAsia="黑体"/>
          <w:b/>
          <w:sz w:val="32"/>
        </w:rPr>
        <w:t>实训报告补充内容与插入位置说明</w:t>
      </w:r>
    </w:p>
    <w:p w14:paraId="00000002">
      <w:pPr>
        <w:spacing w:after="200"/>
        <w:jc w:val="center"/>
      </w:pPr>
      <w:r>
        <w:rPr>
          <w:rFonts w:hint="eastAsia" w:ascii="Times New Roman" w:hAnsi="Times New Roman" w:eastAsia="楷体"/>
          <w:b w:val="0"/>
          <w:color w:val="595959"/>
          <w:sz w:val="21"/>
        </w:rPr>
        <w:t>—— 对应《在线学习平台系统设计与实现-实训报告-莫秋裕.docx》</w:t>
      </w:r>
    </w:p>
    <w:p w14:paraId="00000003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本文件不修改报告本身。下面给出两处建议补充的内容：每处包括插入位置、可直接复制进报告的具体文字、排版要求以及插入后需要同步调整的事项。两处均建议放在第 3 章 3.1 节“开发环境与工程结构”中，与该节主题（环境、工程结构、版本管理）完全吻合。</w:t>
      </w:r>
    </w:p>
    <w:p w14:paraId="00000004">
      <w:pPr>
        <w:spacing w:before="280" w:after="120"/>
      </w:pPr>
      <w:r>
        <w:rPr>
          <w:rFonts w:hint="eastAsia" w:ascii="Times New Roman" w:hAnsi="Times New Roman" w:eastAsia="黑体"/>
          <w:b/>
          <w:sz w:val="28"/>
        </w:rPr>
        <w:t>一、补充内容一：工程目录结构树</w:t>
      </w:r>
    </w:p>
    <w:p w14:paraId="00000005">
      <w:pPr>
        <w:spacing w:after="40" w:line="360" w:lineRule="auto"/>
        <w:ind w:firstLine="480"/>
      </w:pPr>
      <w:r>
        <w:rPr>
          <w:rFonts w:hint="eastAsia" w:ascii="Times New Roman" w:hAnsi="Times New Roman" w:eastAsia="宋体"/>
          <w:b/>
          <w:sz w:val="24"/>
        </w:rPr>
        <w:t>【插入位置】第 3 章 3.1 节“开发环境与工程结构”：表3-1（开发与运行环境）之后、原段落“后端根包 com.mqy.olearning 下按 common、config……”之前。</w:t>
      </w:r>
    </w:p>
    <w:p w14:paraId="00000006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【插入方式】将下面灰底区域的目录树文本整体粘贴为连续段落，字体建议设为 Consolas 9.5 磅（中文字体宋体）、左对齐、单倍行距、首行不缩进——与报告中代码片段的排版保持一致（若报告中使用了“实训代码”样式，直接套用该样式即可）。</w:t>
      </w:r>
    </w:p>
    <w:p w14:paraId="00000007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color w:val="C00000"/>
          <w:sz w:val="22"/>
        </w:rPr>
        <w:t>【勘误说明】你提供的目录树里有两处数字与项目实际不符，已在下文中按实际修正：entity 包对应 20 张数据表（不是 16 张）、init.sql 建 20 张表（不是 17 张）；冒烟测试 27 项断言与报告 3.3.3 节一致，保留不变。</w:t>
      </w:r>
    </w:p>
    <w:p w14:paraId="00000008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/>
          <w:sz w:val="22"/>
        </w:rPr>
        <w:t>【具体内容】（复制以下全部行）</w:t>
      </w:r>
    </w:p>
    <w:p w14:paraId="00000009">
      <w:pPr>
        <w:shd w:val="clear" w:fill="F2F2F2"/>
        <w:spacing w:after="0" w:line="240" w:lineRule="auto"/>
        <w:ind w:left="240"/>
      </w:pPr>
      <w:r>
        <w:rPr>
          <w:rFonts w:ascii="Consolas" w:hAnsi="Consolas" w:eastAsia="宋体"/>
          <w:b w:val="0"/>
          <w:sz w:val="19"/>
        </w:rPr>
        <w:t>online_learning_system/</w:t>
      </w:r>
    </w:p>
    <w:p w14:paraId="0000000A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olearning-server/            后端（Spring Boot 3.5.16，Java 17）</w:t>
      </w:r>
    </w:p>
    <w:p w14:paraId="0000000B">
      <w:pPr>
        <w:shd w:val="clear" w:fill="F2F2F2"/>
        <w:spacing w:after="0" w:line="240" w:lineRule="auto"/>
        <w:ind w:left="240"/>
      </w:pPr>
      <w:r>
        <w:rPr>
          <w:rFonts w:ascii="Consolas" w:hAnsi="Consolas" w:eastAsia="宋体"/>
          <w:b w:val="0"/>
          <w:sz w:val="19"/>
        </w:rPr>
        <w:t>│   └── src/main/java/com/mqy/olearning/</w:t>
      </w:r>
    </w:p>
    <w:p w14:paraId="0000000C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common/              统一响应体、业务异常、全局异常处理</w:t>
      </w:r>
    </w:p>
    <w:p w14:paraId="0000000D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config/              MyBatis-Plus、跨域与拦截器注册、接口文档</w:t>
      </w:r>
    </w:p>
    <w:p w14:paraId="0000000E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security/            JWT 工具、拦截器、角色注解、用户上下文</w:t>
      </w:r>
    </w:p>
    <w:p w14:paraId="0000000F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controller/          认证 / 公开 / 学生 / 教师 / 管理 / 文件 六组控制器</w:t>
      </w:r>
    </w:p>
    <w:p w14:paraId="00000010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service/             业务逻辑层（16 个业务服务）</w:t>
      </w:r>
    </w:p>
    <w:p w14:paraId="00000011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mapper/              MyBatis-Plus Mapper 持久层</w:t>
      </w:r>
    </w:p>
    <w:p w14:paraId="00000012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entity/              20 张数据表对应的实体类</w:t>
      </w:r>
    </w:p>
    <w:p w14:paraId="00000013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dto/                 请求 / 响应对象</w:t>
      </w:r>
    </w:p>
    <w:p w14:paraId="00000014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└── utils/               密码加盐等工具</w:t>
      </w:r>
    </w:p>
    <w:p w14:paraId="00000015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olearning-web/               前端（Vue 3 + Vite + TypeScript）</w:t>
      </w:r>
    </w:p>
    <w:p w14:paraId="00000016">
      <w:pPr>
        <w:shd w:val="clear" w:fill="F2F2F2"/>
        <w:spacing w:after="0" w:line="240" w:lineRule="auto"/>
        <w:ind w:left="240"/>
      </w:pPr>
      <w:r>
        <w:rPr>
          <w:rFonts w:ascii="Consolas" w:hAnsi="Consolas" w:eastAsia="宋体"/>
          <w:b w:val="0"/>
          <w:sz w:val="19"/>
        </w:rPr>
        <w:t>│   └── src/</w:t>
      </w:r>
    </w:p>
    <w:p w14:paraId="00000017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views/               前台页面（首页、课程广场、详情、学习、测验、成绩、讨论、个人中心）</w:t>
      </w:r>
    </w:p>
    <w:p w14:paraId="00000018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views/teacher/       教师端：学情看板、课程、章节、题库、试卷、作业、学生</w:t>
      </w:r>
    </w:p>
    <w:p w14:paraId="00000019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views/admin/         管理端：统计、用户、审核、分类、公告</w:t>
      </w:r>
    </w:p>
    <w:p w14:paraId="0000001A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layouts/             前台布局、后台管理布局</w:t>
      </w:r>
    </w:p>
    <w:p w14:paraId="0000001B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router/              路由表与角色守卫</w:t>
      </w:r>
    </w:p>
    <w:p w14:paraId="0000001C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├── stores/              Pinia 登录态</w:t>
      </w:r>
    </w:p>
    <w:p w14:paraId="0000001D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│       └── utils/               Axios 封装</w:t>
      </w:r>
    </w:p>
    <w:p w14:paraId="0000001E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sql/init.sql                 建库脚本 + 20 张表 + 演示数据</w:t>
      </w:r>
    </w:p>
    <w:p w14:paraId="0000001F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sql/upgrade-v3.sql           老库升级到 v3（幂等，可重复执行）</w:t>
      </w:r>
    </w:p>
    <w:p w14:paraId="00000020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sql/upgrade-v4.sql           老库升级到 v4（幂等，可重复执行）</w:t>
      </w:r>
    </w:p>
    <w:p w14:paraId="00000021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scripts/smoke-test.sh        接口冒烟测试（27 项断言）</w:t>
      </w:r>
    </w:p>
    <w:p w14:paraId="00000022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docs/screenshots/            联调验收截图</w:t>
      </w:r>
    </w:p>
    <w:p w14:paraId="00000023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├── docker-compose.yml           容器化一键部署</w:t>
      </w:r>
    </w:p>
    <w:p w14:paraId="00000024">
      <w:pPr>
        <w:shd w:val="clear" w:fill="F2F2F2"/>
        <w:spacing w:after="0" w:line="240" w:lineRule="auto"/>
        <w:ind w:left="240"/>
      </w:pPr>
      <w:r>
        <w:rPr>
          <w:rFonts w:hint="eastAsia" w:ascii="Consolas" w:hAnsi="Consolas" w:eastAsia="宋体"/>
          <w:b w:val="0"/>
          <w:sz w:val="19"/>
        </w:rPr>
        <w:t>└── README.md                    项目说明文档</w:t>
      </w:r>
    </w:p>
    <w:p w14:paraId="00000025"/>
    <w:p w14:paraId="00000026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【衔接建议】目录树后面紧跟的原有段落“后端根包 com.mqy.olearning 下按 common、config、security……工程全部源码由本人逐行编写、调试并整合。”是对目录树的文字概括，建议保留；若觉得与目录树重复，可精简为一句：“工程按上述结构组织，全部源码由本人逐行编写、调试并整合。”</w:t>
      </w:r>
    </w:p>
    <w:p w14:paraId="00000027">
      <w:pPr>
        <w:spacing w:before="280" w:after="120"/>
      </w:pPr>
      <w:r>
        <w:rPr>
          <w:rFonts w:hint="eastAsia" w:ascii="Times New Roman" w:hAnsi="Times New Roman" w:eastAsia="黑体"/>
          <w:b/>
          <w:sz w:val="28"/>
        </w:rPr>
        <w:t>二、补充内容二：GitHub 远程仓库截图与版本管理说明</w:t>
      </w:r>
    </w:p>
    <w:p w14:paraId="00000028">
      <w:pPr>
        <w:spacing w:after="40" w:line="360" w:lineRule="auto"/>
        <w:ind w:firstLine="480"/>
      </w:pPr>
      <w:r>
        <w:rPr>
          <w:rFonts w:hint="eastAsia" w:ascii="Times New Roman" w:hAnsi="Times New Roman" w:eastAsia="宋体"/>
          <w:b/>
          <w:sz w:val="24"/>
        </w:rPr>
        <w:t>【插入位置】3.1 节末尾，即目录树（或“后端根包……”段落）之后、3.2 节“关键功能实现”标题之前。</w:t>
      </w:r>
    </w:p>
    <w:p w14:paraId="00000029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/>
          <w:sz w:val="22"/>
        </w:rPr>
        <w:t>【正文段落】（可直接复制，宋体小四、两端对齐、首行缩进 2 字符，与正文样式一致）</w:t>
      </w:r>
    </w:p>
    <w:p w14:paraId="0000002A">
      <w:pPr>
        <w:shd w:val="clear" w:fill="F2F2F2"/>
        <w:spacing w:after="40" w:line="360" w:lineRule="auto"/>
        <w:ind w:firstLine="480"/>
      </w:pPr>
      <w:r>
        <w:rPr>
          <w:rFonts w:hint="eastAsia" w:ascii="Times New Roman" w:hAnsi="Times New Roman" w:eastAsia="宋体"/>
          <w:b w:val="0"/>
          <w:sz w:val="24"/>
        </w:rPr>
        <w:t>工程源码通过 Git 进行版本管理，并按功能粒度提交，提交信息与功能点一一对应（如“教师注册提醒、题库批量导入素材与课件预览修复”），提交历史完整记录了从工程初始化、完整功能实现到两轮功能迭代的演进轨迹；远程仓库托管于 GitHub（github.com/mqyfeifei/online_learning_system），仓库主页如图3-1所示。.gitignore 排除了 node_modules、target 等构建产物，仓库仅承载源码、脚本与文档。</w:t>
      </w:r>
    </w:p>
    <w:p w14:paraId="0000002B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/>
          <w:sz w:val="22"/>
        </w:rPr>
        <w:t>【插图】在上述段落之后插入 GitHub 仓库主页截图，图片下方居中放置图注：</w:t>
      </w:r>
    </w:p>
    <w:p w14:paraId="0000002C">
      <w:pPr>
        <w:shd w:val="clear" w:fill="F2F2F2"/>
        <w:jc w:val="center"/>
      </w:pPr>
      <w:r>
        <w:rPr>
          <w:rFonts w:hint="eastAsia" w:ascii="Times New Roman" w:hAnsi="Times New Roman" w:eastAsia="宋体"/>
          <w:b/>
          <w:sz w:val="21"/>
        </w:rPr>
        <w:t>图3-1 项目远程仓库主页（GitHub）</w:t>
      </w:r>
    </w:p>
    <w:p w14:paraId="0000002D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【截图方法】浏览器打开 https://github.com/mqyfeifei/online_learning_system ，截取仓库 Code 主页（含文件列表与提交信息，最好带上 README 区）。你提供的这张截图（mqyfeifei/online_learning_system 主页，含“这是一个前后端分离的在线学习系统”简介与语言占比条）内容完整、可以直接使用；建议裁掉浏览器标签页与书签栏，保留页面主体即可。插入后图片宽度约占版心 90%、居中，图注用与正文图一致的题注格式（宋体五号加粗居中，或套用报告中的“实训图注”样式）。</w:t>
      </w:r>
    </w:p>
    <w:p w14:paraId="0000002E">
      <w:pPr>
        <w:spacing w:before="280" w:after="120"/>
      </w:pPr>
      <w:r>
        <w:rPr>
          <w:rFonts w:hint="eastAsia" w:ascii="Times New Roman" w:hAnsi="Times New Roman" w:eastAsia="黑体"/>
          <w:b/>
          <w:sz w:val="28"/>
        </w:rPr>
        <w:t>三、插入后需要同步调整的事项</w:t>
      </w:r>
    </w:p>
    <w:p w14:paraId="0000002F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1. 图号顺延：原第 3 章的 图3-1～图3-9（位于 3.3.5 节“系统运行效果”的 9 张系统截图）顺延为 图3-2～图3-10。需要修改的只有这 9 处图注，正文其它地方没有引用这些图号。操作建议：Word 中 Ctrl+H 查找替换，务必按倒序执行——先把“图3-9”替换为“图3-10”，再“图3-8”→“图3-9”，……最后“图3-1”→“图3-2”，否则会产生连锁错乱。替换完成后 Ctrl+F 搜索“图3-”通查一遍。</w:t>
      </w:r>
    </w:p>
    <w:p w14:paraId="00000030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2. 表3-1“开发与运行环境”中“版本管理 | Git | Gitee 远程托管”一行，建议将“Gitee 远程托管”改为“GitHub 远程托管”，与截图保持一致。</w:t>
      </w:r>
    </w:p>
    <w:p w14:paraId="00000031">
      <w:pPr>
        <w:spacing w:after="40" w:line="360" w:lineRule="auto"/>
        <w:ind w:firstLine="440"/>
      </w:pPr>
      <w:r>
        <w:rPr>
          <w:rFonts w:hint="eastAsia" w:ascii="Times New Roman" w:hAnsi="Times New Roman" w:eastAsia="宋体"/>
          <w:b w:val="0"/>
          <w:sz w:val="22"/>
        </w:rPr>
        <w:t>3. 字数影响：两处补充共增加约 350 字，报告总字数仍在 18000～28000 区间内，无需其他调整。</w:t>
      </w:r>
    </w:p>
    <w:p w14:paraId="1434BAB3">
      <w:pPr>
        <w:pStyle w:val="4"/>
        <w:keepNext/>
        <w:keepLines/>
        <w:spacing w:before="100" w:beforeAutospacing="1" w:after="100" w:afterAutospacing="1"/>
        <w:outlineLvl w:val="1"/>
        <w:rPr>
          <w:rFonts w:hint="eastAsia" w:ascii="Times New Roman" w:hAnsi="Times New Roman" w:eastAsia="宋体"/>
          <w:b w:val="0"/>
          <w:sz w:val="22"/>
        </w:rPr>
      </w:pPr>
      <w:r>
        <w:rPr>
          <w:rFonts w:hint="eastAsia" w:ascii="Times New Roman" w:hAnsi="Times New Roman" w:eastAsia="宋体"/>
          <w:b w:val="0"/>
          <w:sz w:val="22"/>
        </w:rPr>
        <w:t>4. 若目录树作为普通段落插入，注意它不应计入“图表”编号体系，也无需题注；若你更想把它做成插图（截图式），也可以改成“图3-2 工程目录结构”，但那样第 3 章图号还需再顺延一位，一般不建议。</w:t>
      </w:r>
    </w:p>
    <w:p w14:paraId="00000032">
      <w:pPr>
        <w:pStyle w:val="4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补充内容三：数据库表结构总览截图（Navicat）</w:t>
      </w:r>
    </w:p>
    <w:p w14:paraId="00000033">
      <w:r>
        <w:rPr>
          <w:rFonts w:hint="eastAsia"/>
          <w:b/>
        </w:rPr>
        <w:t>插入位置</w:t>
      </w:r>
      <w:r>
        <w:rPr>
          <w:rFonts w:hint="eastAsia"/>
        </w:rPr>
        <w:t>：第 2 章 2.2.3「数据库实施要点」末尾（即 2.3 节标题之前）。</w:t>
      </w:r>
    </w:p>
    <w:p w14:paraId="00000034">
      <w:r>
        <w:rPr>
          <w:rFonts w:hint="eastAsia"/>
          <w:b/>
        </w:rPr>
        <w:t>图注</w:t>
      </w:r>
      <w:r>
        <w:rPr>
          <w:rFonts w:hint="eastAsia"/>
        </w:rPr>
        <w:t>（图片下方居中，套用「实训图注」样式）：</w:t>
      </w:r>
    </w:p>
    <w:p w14:paraId="00000035">
      <w:r>
        <w:rPr>
          <w:rFonts w:hint="eastAsia"/>
        </w:rPr>
        <w:t>图2-10 数据库物理结构总览（Navicat）</w:t>
      </w:r>
    </w:p>
    <w:p w14:paraId="00000036">
      <w:r>
        <w:rPr>
          <w:rFonts w:hint="eastAsia"/>
          <w:b/>
        </w:rPr>
        <w:t>可直接复制的说明正文</w:t>
      </w:r>
      <w:r>
        <w:rPr>
          <w:rFonts w:hint="eastAsia"/>
        </w:rPr>
        <w:t>（放在图注之后，套用「实训正文」样式）：</w:t>
      </w:r>
    </w:p>
    <w:p w14:paraId="00000037">
      <w:r>
        <w:rPr>
          <w:rFonts w:hint="eastAsia"/>
        </w:rPr>
        <w:t>数据库实施完成后，online_learning 库中共建立 20 张业务数据表，如图2-10所示。全部数据表均采用 InnoDB 存储引擎以支持事务与索引机制，字符集统一为 utf8mb4、排序规则为 utf8mb4_0900_ai_ci；每张表均按规范添加中文注释，字段级的主键、唯一索引与普通索引与 2.2.2 节的逻辑设计一一对应。</w:t>
      </w:r>
    </w:p>
    <w:p w14:paraId="00000038">
      <w:r>
        <w:rPr>
          <w:rFonts w:hint="eastAsia"/>
          <w:b/>
        </w:rPr>
        <w:t>截图操作指引</w:t>
      </w:r>
      <w:r>
        <w:rPr>
          <w:rFonts w:hint="eastAsia"/>
        </w:rPr>
        <w:t>：可直接使用你已截好的 Navicat 截图（左树展开 online_learning 库的「表」节点，右侧对象列表完整显示 20 张表）。建议裁掉顶部工具栏与左侧无关的其他数据库连接，仅保留「online_learning → 表」树节点与右侧表清单区域；若重新截取，注意让 20 张表全部进入可视区域（必要时先滚动到底再拼接）。</w:t>
      </w:r>
    </w:p>
    <w:p w14:paraId="00000039">
      <w:pPr>
        <w:pStyle w:val="4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补充内容四：后端开发与运行环境截图（IntelliJ IDEA）</w:t>
      </w:r>
    </w:p>
    <w:p w14:paraId="0000003A">
      <w:r>
        <w:rPr>
          <w:rFonts w:hint="eastAsia"/>
          <w:b/>
        </w:rPr>
        <w:t>插入位置</w:t>
      </w:r>
      <w:r>
        <w:rPr>
          <w:rFonts w:hint="eastAsia"/>
        </w:rPr>
        <w:t>：第 3 章 3.1「开发环境与工程结构」，工程目录结构代码块之后、版本管理说明段落之前。</w:t>
      </w:r>
    </w:p>
    <w:p w14:paraId="0000003B">
      <w:r>
        <w:rPr>
          <w:rFonts w:hint="eastAsia"/>
          <w:b/>
        </w:rPr>
        <w:t>图注</w:t>
      </w:r>
      <w:r>
        <w:rPr>
          <w:rFonts w:hint="eastAsia"/>
        </w:rPr>
        <w:t>（图片下方居中，套用「实训图注」样式）：</w:t>
      </w:r>
    </w:p>
    <w:p w14:paraId="0000003C">
      <w:r>
        <w:rPr>
          <w:rFonts w:hint="eastAsia"/>
        </w:rPr>
        <w:t>图3-1 后端开发与运行环境（IntelliJ IDEA）</w:t>
      </w:r>
    </w:p>
    <w:p w14:paraId="0000003D">
      <w:r>
        <w:rPr>
          <w:rFonts w:hint="eastAsia"/>
          <w:b/>
        </w:rPr>
        <w:t>可直接复制的说明正文</w:t>
      </w:r>
      <w:r>
        <w:rPr>
          <w:rFonts w:hint="eastAsia"/>
        </w:rPr>
        <w:t>（放在图注之后，套用「实训正文」样式）：</w:t>
      </w:r>
    </w:p>
    <w:p w14:paraId="0000003E">
      <w:r>
        <w:rPr>
          <w:rFonts w:hint="eastAsia"/>
        </w:rPr>
        <w:t>后端工程在 IntelliJ IDEA 中开发，如图3-1所示。左侧项目视图展示了 com.mqy.olearning 根包下 common、config、controller、dto、entity、mapper、security、service、utils 九个包的分层结构；中间编辑区为主配置文件 application.yml，数据库密码通过环境变量注入，避免敏感信息进入版本库；底部运行控制台显示应用启动后的 MyBatis SqlSession 执行日志，表明持久层工作正常。</w:t>
      </w:r>
    </w:p>
    <w:p w14:paraId="0000003F">
      <w:r>
        <w:rPr>
          <w:rFonts w:hint="eastAsia"/>
          <w:b/>
        </w:rPr>
        <w:t>截图操作指引</w:t>
      </w:r>
      <w:r>
        <w:rPr>
          <w:rFonts w:hint="eastAsia"/>
        </w:rPr>
        <w:t>：可直接使用你已截好的 IDEA 截图（项目树展开至 com.mqy.olearning 各包 + application.yml + Run 控制台）。注意两点：确认图中密码行以 ${DB_PASSWORD:} 环境变量形式出现、无真实密码明文；控制台区域建议保留启动成功或 SQL 日志片段，能体现「系统正在真实运行」。</w:t>
      </w:r>
    </w:p>
    <w:p w14:paraId="00000040">
      <w:pPr>
        <w:pStyle w:val="4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补充内容五：前端开发与运行环境截图（VS Code）</w:t>
      </w:r>
    </w:p>
    <w:p w14:paraId="00000041">
      <w:r>
        <w:rPr>
          <w:rFonts w:hint="eastAsia"/>
          <w:b/>
        </w:rPr>
        <w:t>插入位置</w:t>
      </w:r>
      <w:r>
        <w:rPr>
          <w:rFonts w:hint="eastAsia"/>
        </w:rPr>
        <w:t>：紧接图3-1 之后（仍在 3.1 节内）。</w:t>
      </w:r>
    </w:p>
    <w:p w14:paraId="00000042">
      <w:r>
        <w:rPr>
          <w:rFonts w:hint="eastAsia"/>
          <w:b/>
        </w:rPr>
        <w:t>图注</w:t>
      </w:r>
      <w:r>
        <w:rPr>
          <w:rFonts w:hint="eastAsia"/>
        </w:rPr>
        <w:t>（图片下方居中，套用「实训图注」样式）：</w:t>
      </w:r>
    </w:p>
    <w:p w14:paraId="00000043">
      <w:bookmarkStart w:id="0" w:name="_GoBack"/>
      <w:r>
        <w:rPr>
          <w:rFonts w:hint="eastAsia"/>
        </w:rPr>
        <w:t>图3-2 前端开发与运行环境（VS Code）</w:t>
      </w:r>
    </w:p>
    <w:p w14:paraId="00000044">
      <w:r>
        <w:rPr>
          <w:rFonts w:hint="eastAsia"/>
          <w:b/>
        </w:rPr>
        <w:t>可直接复制的说明正文</w:t>
      </w:r>
      <w:r>
        <w:rPr>
          <w:rFonts w:hint="eastAsia"/>
        </w:rPr>
        <w:t>（放在图注之后，套用「实训正文」样式）：</w:t>
      </w:r>
    </w:p>
    <w:p w14:paraId="00000045">
      <w:r>
        <w:rPr>
          <w:rFonts w:hint="eastAsia"/>
        </w:rPr>
        <w:t>前端工程在 Visual Studio Code 中开发，如图3-2所示。左侧资源管理器展示了 olearning-web 的 src 目录结构（components、layouts、router、stores、styles、utils、views 等）；中间编辑区为测验结果页 Exam.vue 的源码，体现 Vue 3 组合式 API 与纯 SVG 手绘成绩圆环的实现方式；底部终端显示 Vite 6 开发服务器运行于 5173 端口，热更新日志表明前后端联调链路畅通。</w:t>
      </w:r>
    </w:p>
    <w:bookmarkEnd w:id="0"/>
    <w:p w14:paraId="00000046">
      <w:r>
        <w:rPr>
          <w:rFonts w:hint="eastAsia"/>
          <w:b/>
        </w:rPr>
        <w:t>截图操作指引</w:t>
      </w:r>
      <w:r>
        <w:rPr>
          <w:rFonts w:hint="eastAsia"/>
        </w:rPr>
        <w:t>：可直接使用你已截好的 VS Code 截图。建议终端区域保留「VITE v6 ready」与「Local: http://localhost:5173」两行关键信息；若编辑器标签页过多，可只保留与正文描述相关的标签。</w:t>
      </w:r>
    </w:p>
    <w:p w14:paraId="00000047">
      <w:pPr>
        <w:pStyle w:val="4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编号与连锁调整（以此为准，替代前文约定）</w:t>
      </w:r>
    </w:p>
    <w:p w14:paraId="00000048">
      <w:pPr>
        <w:numPr>
          <w:ilvl w:val="0"/>
          <w:numId w:val="7"/>
        </w:numPr>
      </w:pPr>
      <w:r>
        <w:rPr>
          <w:rFonts w:hint="eastAsia"/>
        </w:rPr>
        <w:t>第 2 章新增图2-10，位于原图2-9 之后，第 2 章既有图号不受影响。</w:t>
      </w:r>
    </w:p>
    <w:p w14:paraId="00000049">
      <w:pPr>
        <w:numPr>
          <w:ilvl w:val="0"/>
          <w:numId w:val="7"/>
        </w:numPr>
      </w:pPr>
      <w:r>
        <w:rPr>
          <w:rFonts w:hint="eastAsia"/>
        </w:rPr>
        <w:t>第 3 章图号最终方案：</w:t>
      </w:r>
      <w:r>
        <w:rPr>
          <w:rFonts w:hint="eastAsia"/>
          <w:b/>
        </w:rPr>
        <w:t>图3-1</w:t>
      </w:r>
      <w:r>
        <w:rPr>
          <w:rFonts w:hint="eastAsia"/>
        </w:rPr>
        <w:t xml:space="preserve"> IDEA 开发环境、</w:t>
      </w:r>
      <w:r>
        <w:rPr>
          <w:rFonts w:hint="eastAsia"/>
          <w:b/>
        </w:rPr>
        <w:t>图3-2</w:t>
      </w:r>
      <w:r>
        <w:rPr>
          <w:rFonts w:hint="eastAsia"/>
        </w:rPr>
        <w:t xml:space="preserve"> VS Code 开发环境、</w:t>
      </w:r>
      <w:r>
        <w:rPr>
          <w:rFonts w:hint="eastAsia"/>
          <w:b/>
        </w:rPr>
        <w:t>图3-3</w:t>
      </w:r>
      <w:r>
        <w:rPr>
          <w:rFonts w:hint="eastAsia"/>
        </w:rPr>
        <w:t xml:space="preserve"> GitHub 仓库主页（即前文补充内容二所称的「图3-1」顺延为图3-3）；原 3.3.5 节九张系统截图 图3-1～图3-9 顺延为 </w:t>
      </w:r>
      <w:r>
        <w:rPr>
          <w:rFonts w:hint="eastAsia"/>
          <w:b/>
        </w:rPr>
        <w:t>图3-4～图3-12</w:t>
      </w:r>
      <w:r>
        <w:rPr>
          <w:rFonts w:hint="eastAsia"/>
        </w:rPr>
        <w:t>。</w:t>
      </w:r>
    </w:p>
    <w:p w14:paraId="0000004A">
      <w:pPr>
        <w:numPr>
          <w:ilvl w:val="0"/>
          <w:numId w:val="7"/>
        </w:numPr>
      </w:pPr>
      <w:r>
        <w:rPr>
          <w:rFonts w:hint="eastAsia"/>
        </w:rPr>
        <w:t>若你尚未执行前文的第一轮顺延：直接在 Word 中倒序查找替换——先把原九张截图图注按 3-9→3-12、3-8→3-11……3-1→3-4 逐一替换（共 9 处），再把 GitHub 占位处的「图3-1」改为「图3-3」。</w:t>
      </w:r>
    </w:p>
    <w:p w14:paraId="0000004B">
      <w:pPr>
        <w:numPr>
          <w:ilvl w:val="0"/>
          <w:numId w:val="7"/>
        </w:numPr>
      </w:pPr>
      <w:r>
        <w:rPr>
          <w:rFonts w:hint="eastAsia"/>
        </w:rPr>
        <w:t>若你已执行过第一轮顺延（截图已为图3-2～图3-10、GitHub 为图3-1）：在此基础上再倒序执行第二轮——3-10→3-12、3-9→3-11、……、3-2→3-4，最后把 GitHub 的「图3-1」改为「图3-3」。查找替换务必使用「图3-」前缀完整匹配，避免误改正文。</w:t>
      </w:r>
    </w:p>
    <w:p w14:paraId="0000004C">
      <w:pPr>
        <w:numPr>
          <w:ilvl w:val="0"/>
          <w:numId w:val="7"/>
        </w:numPr>
      </w:pPr>
      <w:r>
        <w:rPr>
          <w:rFonts w:hint="eastAsia"/>
        </w:rPr>
        <w:t>三处补充共约 +450 字，报告总字数仍在 18000–28000 字要求区间内。</w:t>
      </w:r>
    </w:p>
    <w:p w14:paraId="0000004D">
      <w:pPr>
        <w:spacing w:after="40" w:line="360" w:lineRule="auto"/>
        <w:ind w:firstLine="44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3612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left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hAnsi="Courier" w:eastAsiaTheme="minorEastAsia" w:cstheme="minorBidi"/>
      <w:kern w:val="2"/>
      <w:sz w:val="20"/>
      <w:szCs w:val="20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3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styleId="135">
    <w:name w:val="List Paragraph"/>
    <w:basedOn w:val="1"/>
    <w:qFormat/>
    <w:uiPriority w:val="34"/>
    <w:pPr>
      <w:ind w:left="720"/>
      <w:contextualSpacing/>
    </w:pPr>
  </w:style>
  <w:style w:type="character" w:customStyle="1" w:styleId="136">
    <w:name w:val="Header Char"/>
    <w:basedOn w:val="132"/>
    <w:link w:val="25"/>
    <w:qFormat/>
    <w:uiPriority w:val="99"/>
  </w:style>
  <w:style w:type="paragraph" w:customStyle="1" w:styleId="137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8">
    <w:name w:val="Body Text 2 Char"/>
    <w:basedOn w:val="132"/>
    <w:link w:val="28"/>
    <w:qFormat/>
    <w:uiPriority w:val="99"/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Intense Quote Char"/>
    <w:basedOn w:val="132"/>
    <w:link w:val="14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2">
    <w:name w:val="Intense Quote"/>
    <w:basedOn w:val="1"/>
    <w:next w:val="1"/>
    <w:link w:val="14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Body Text 3 Char"/>
    <w:basedOn w:val="132"/>
    <w:link w:val="17"/>
    <w:uiPriority w:val="99"/>
    <w:rPr>
      <w:sz w:val="16"/>
      <w:szCs w:val="16"/>
    </w:rPr>
  </w:style>
  <w:style w:type="character" w:customStyle="1" w:styleId="14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45">
    <w:name w:val="No Spacing"/>
    <w:qFormat/>
    <w:uiPriority w:val="1"/>
    <w:pPr>
      <w:spacing w:after="0" w:line="240" w:lineRule="auto"/>
      <w:jc w:val="left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46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7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9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1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3">
    <w:name w:val="Body Text Char"/>
    <w:basedOn w:val="132"/>
    <w:link w:val="19"/>
    <w:uiPriority w:val="99"/>
  </w:style>
  <w:style w:type="character" w:customStyle="1" w:styleId="154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7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9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0">
    <w:name w:val="Quote Char"/>
    <w:basedOn w:val="132"/>
    <w:link w:val="16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61">
    <w:name w:val="Quote"/>
    <w:basedOn w:val="1"/>
    <w:next w:val="1"/>
    <w:link w:val="16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Footer Char"/>
    <w:basedOn w:val="132"/>
    <w:link w:val="24"/>
    <w:uiPriority w:val="99"/>
  </w:style>
  <w:style w:type="character" w:customStyle="1" w:styleId="16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3162</Words>
  <Characters>4460</Characters>
  <TotalTime>0</TotalTime>
  <ScaleCrop>false</ScaleCrop>
  <LinksUpToDate>false</LinksUpToDate>
  <CharactersWithSpaces>5179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2026-10-28T22:50:00Z</dcterms:created>
  <dc:creator>10363</dc:creator>
  <cp:lastModifiedBy>破晓之光</cp:lastModifiedBy>
  <dcterms:modified xsi:type="dcterms:W3CDTF">2026-10-28T15:30:08Z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eyJoZGlkIjoiZDVmMTVmMGIyNzUxMTNlNWUyYTVmYzAyNzBlZjgxNGMiLCJ1c2VySWQiOiIxNTQ5NzY1NzUyIn0=</vt:lpwstr>
  </property>
  <property fmtid="{D5CDD505-2E9C-101B-9397-08002B2CF9AE}" pid="3" name="KSOProductBuildVer">
    <vt:lpwstr>2052-12.1.0.25225</vt:lpwstr>
  </property>
  <property fmtid="{D5CDD505-2E9C-101B-9397-08002B2CF9AE}" pid="4" name="ICV">
    <vt:lpwstr>419C19E114F44194939CE32399CFB222_12</vt:lpwstr>
  </property>
</Properties>
</file>