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D5612"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TCGA-DL: A Lightweight Windows Application for Code-Free TCGA Data Download</w:t>
      </w:r>
    </w:p>
    <w:p w14:paraId="471BC3A2" w14:textId="77777777" w:rsidR="005D7180" w:rsidRPr="005D7180" w:rsidRDefault="005D7180" w:rsidP="005D7180">
      <w:pPr>
        <w:bidi w:val="0"/>
        <w:spacing w:before="100" w:beforeAutospacing="1" w:after="100" w:afterAutospacing="1" w:line="240" w:lineRule="auto"/>
        <w:rPr>
          <w:b/>
          <w:bCs/>
          <w:color w:val="auto"/>
          <w:sz w:val="24"/>
          <w:szCs w:val="24"/>
        </w:rPr>
      </w:pPr>
      <w:proofErr w:type="spellStart"/>
      <w:r w:rsidRPr="005D7180">
        <w:rPr>
          <w:b/>
          <w:bCs/>
          <w:color w:val="auto"/>
          <w:sz w:val="24"/>
          <w:szCs w:val="24"/>
        </w:rPr>
        <w:t>Amirmohammad</w:t>
      </w:r>
      <w:proofErr w:type="spellEnd"/>
      <w:r w:rsidRPr="005D7180">
        <w:rPr>
          <w:b/>
          <w:bCs/>
          <w:color w:val="auto"/>
          <w:sz w:val="24"/>
          <w:szCs w:val="24"/>
        </w:rPr>
        <w:t xml:space="preserve"> Asgari¹, Mohammadreza Shahbazi¹, </w:t>
      </w:r>
      <w:proofErr w:type="spellStart"/>
      <w:r w:rsidRPr="005D7180">
        <w:rPr>
          <w:b/>
          <w:bCs/>
          <w:color w:val="auto"/>
          <w:sz w:val="24"/>
          <w:szCs w:val="24"/>
        </w:rPr>
        <w:t>Abolfazl</w:t>
      </w:r>
      <w:proofErr w:type="spellEnd"/>
      <w:r w:rsidRPr="005D7180">
        <w:rPr>
          <w:b/>
          <w:bCs/>
          <w:color w:val="auto"/>
          <w:sz w:val="24"/>
          <w:szCs w:val="24"/>
        </w:rPr>
        <w:t xml:space="preserve"> Ghasemi¹, Siamak Salimy¹*, Mahan Mirzade¹</w:t>
      </w:r>
    </w:p>
    <w:p w14:paraId="0F2D088E" w14:textId="77777777" w:rsidR="005D7180" w:rsidRPr="005D7180" w:rsidRDefault="005D7180" w:rsidP="005D7180">
      <w:pPr>
        <w:numPr>
          <w:ilvl w:val="0"/>
          <w:numId w:val="7"/>
        </w:numPr>
        <w:bidi w:val="0"/>
        <w:spacing w:before="100" w:beforeAutospacing="1" w:after="100" w:afterAutospacing="1" w:line="240" w:lineRule="auto"/>
        <w:rPr>
          <w:b/>
          <w:bCs/>
          <w:color w:val="auto"/>
          <w:sz w:val="24"/>
          <w:szCs w:val="24"/>
        </w:rPr>
      </w:pPr>
      <w:r w:rsidRPr="005D7180">
        <w:rPr>
          <w:b/>
          <w:bCs/>
          <w:color w:val="auto"/>
          <w:sz w:val="24"/>
          <w:szCs w:val="24"/>
        </w:rPr>
        <w:t>Department of Computer Engineering, National University of Skills (NUS), Tehran, Iran</w:t>
      </w:r>
    </w:p>
    <w:p w14:paraId="4DADD5E0"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*Corresponding author:</w:t>
      </w:r>
      <w:r w:rsidRPr="005D7180">
        <w:rPr>
          <w:b/>
          <w:bCs/>
          <w:color w:val="auto"/>
          <w:sz w:val="24"/>
          <w:szCs w:val="24"/>
        </w:rPr>
        <w:br/>
      </w:r>
      <w:hyperlink r:id="rId5" w:history="1">
        <w:r w:rsidRPr="005D7180">
          <w:rPr>
            <w:rStyle w:val="Hyperlink"/>
            <w:b/>
            <w:bCs/>
            <w:sz w:val="24"/>
            <w:szCs w:val="24"/>
          </w:rPr>
          <w:t>siamak.salimy@email.com</w:t>
        </w:r>
      </w:hyperlink>
    </w:p>
    <w:p w14:paraId="20F2C53F"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Abstract</w:t>
      </w:r>
      <w:r w:rsidRPr="005D7180">
        <w:rPr>
          <w:b/>
          <w:bCs/>
          <w:color w:val="auto"/>
          <w:sz w:val="24"/>
          <w:szCs w:val="24"/>
        </w:rPr>
        <w:br/>
        <w:t>Background: For many biologists, accessing valuable TCGA data is unintuitive and frustrating. For example, a wet-lab scientist looking to retrieve gene expression data for a subset of breast cancer samples must first locate metadata among thousands of files, then painstakingly craft a manifest and execute multiple command-line commands—often resulting in errors, incomplete downloads, or wasted hours troubleshooting. The Cancer Genome Atlas (TCGA) is a pivotal resource for cancer genomics, yet its utility is limited for non-programmers due to reliance on command-line tools or complex scripting for data download. Although the NCI’s GDC Data Transfer Tool supports manifest-based downloads, it lacks a graphical interface and offers no interactive data exploration.</w:t>
      </w:r>
      <w:r w:rsidRPr="005D7180">
        <w:rPr>
          <w:b/>
          <w:bCs/>
          <w:color w:val="auto"/>
          <w:sz w:val="24"/>
          <w:szCs w:val="24"/>
        </w:rPr>
        <w:br/>
        <w:t>Results: The application provides intuitive graphical data selection combined with high-speed, manifest-driven downloads from the GDC portal. Users can browse and filter TCGA datasets by cancer type, data category (e.g., gene expression, clinical, methylation), and sample attributes via a point-and-click interface. In benchmark tests, TCGA-DL demonstrated the ability to download 42.2 MB of TCGA-BRCA RNA-seq data (10 files) in under 23 seconds, reducing acquisition time by up to 4.8 times compared to the official GDC Data Transfer Tool. Resource monitoring confirms the tool’s efficiency and lightweight design (detailed in Results). Downloaded files are automatically organized into analysis-ready directory structures.</w:t>
      </w:r>
      <w:r w:rsidRPr="005D7180">
        <w:rPr>
          <w:b/>
          <w:bCs/>
          <w:color w:val="auto"/>
          <w:sz w:val="24"/>
          <w:szCs w:val="24"/>
        </w:rPr>
        <w:br/>
        <w:t xml:space="preserve">Conclusions: TCGA-DL bridges the gap between usability and performance, enabling biologists and clinical researchers to access TCGA data quickly and easily. It is a lightweight, Windows-based tool (Python 3 and </w:t>
      </w:r>
      <w:proofErr w:type="spellStart"/>
      <w:r w:rsidRPr="005D7180">
        <w:rPr>
          <w:b/>
          <w:bCs/>
          <w:color w:val="auto"/>
          <w:sz w:val="24"/>
          <w:szCs w:val="24"/>
        </w:rPr>
        <w:t>Tkinter</w:t>
      </w:r>
      <w:proofErr w:type="spellEnd"/>
      <w:r w:rsidRPr="005D7180">
        <w:rPr>
          <w:b/>
          <w:bCs/>
          <w:color w:val="auto"/>
          <w:sz w:val="24"/>
          <w:szCs w:val="24"/>
        </w:rPr>
        <w:t xml:space="preserve">) distributed under the MIT license. To promote reproducible research, all benchmarks presented in this work can be replicated out-of-the-box using the provided source code and step-by-step tutorials. The repository features versioned releases and continuous integration testing to ensure that users can reproduce results reliably across different environments. Source code, installation instructions, and tutorial videos are available at: </w:t>
      </w:r>
      <w:hyperlink r:id="rId6" w:history="1">
        <w:r w:rsidRPr="005D7180">
          <w:rPr>
            <w:rStyle w:val="Hyperlink"/>
            <w:b/>
            <w:bCs/>
            <w:sz w:val="24"/>
            <w:szCs w:val="24"/>
          </w:rPr>
          <w:t>https://siamak-salimy.github.io/HMNexus/</w:t>
        </w:r>
      </w:hyperlink>
      <w:r w:rsidRPr="005D7180">
        <w:rPr>
          <w:b/>
          <w:bCs/>
          <w:color w:val="auto"/>
          <w:sz w:val="24"/>
          <w:szCs w:val="24"/>
        </w:rPr>
        <w:t>.</w:t>
      </w:r>
    </w:p>
    <w:p w14:paraId="1C85D7AF"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Keywords: TCGA; GDC; Cancer genomics; Data download; Graphical user interface;  </w:t>
      </w:r>
      <w:proofErr w:type="spellStart"/>
      <w:r w:rsidRPr="005D7180">
        <w:rPr>
          <w:b/>
          <w:bCs/>
          <w:color w:val="auto"/>
          <w:sz w:val="24"/>
          <w:szCs w:val="24"/>
        </w:rPr>
        <w:t>Tkinter</w:t>
      </w:r>
      <w:proofErr w:type="spellEnd"/>
      <w:r w:rsidRPr="005D7180">
        <w:rPr>
          <w:b/>
          <w:bCs/>
          <w:color w:val="auto"/>
          <w:sz w:val="24"/>
          <w:szCs w:val="24"/>
        </w:rPr>
        <w:t>; Manifest-based download; Python Windows, Lightweight, Data transfer, Graphical downloader; Open-source software; Bioinformatics tool</w:t>
      </w:r>
      <w:r w:rsidRPr="005D7180">
        <w:rPr>
          <w:b/>
          <w:bCs/>
          <w:color w:val="auto"/>
          <w:sz w:val="24"/>
          <w:szCs w:val="24"/>
        </w:rPr>
        <w:br/>
      </w:r>
      <w:r w:rsidRPr="005D7180">
        <w:rPr>
          <w:b/>
          <w:bCs/>
          <w:color w:val="auto"/>
          <w:sz w:val="24"/>
          <w:szCs w:val="24"/>
        </w:rPr>
        <w:t> </w:t>
      </w:r>
      <w:r w:rsidRPr="005D7180">
        <w:rPr>
          <w:b/>
          <w:bCs/>
          <w:color w:val="auto"/>
          <w:sz w:val="24"/>
          <w:szCs w:val="24"/>
        </w:rPr>
        <w:br/>
        <w:t>Introduction</w:t>
      </w:r>
      <w:r w:rsidRPr="005D7180">
        <w:rPr>
          <w:b/>
          <w:bCs/>
          <w:color w:val="auto"/>
          <w:sz w:val="24"/>
          <w:szCs w:val="24"/>
        </w:rPr>
        <w:br/>
        <w:t xml:space="preserve">The Cancer Genome Atlas (TCGA) represents one of the most comprehensive public repositories of multi-omics and clinical data across more than 30 cancer types, enabling breakthroughs in precision oncology, biomarker discovery, and systems biology [1,2]. To facilitate data access, the National Cancer Institute (NCI) provides the Genomic </w:t>
      </w:r>
      <w:r w:rsidRPr="005D7180">
        <w:rPr>
          <w:b/>
          <w:bCs/>
          <w:color w:val="auto"/>
          <w:sz w:val="24"/>
          <w:szCs w:val="24"/>
        </w:rPr>
        <w:lastRenderedPageBreak/>
        <w:t>Data Commons (GDC) portal, which hosts TCGA datasets alongside a programmatic API and a command-line data transfer tool [3]. While powerful, these official interfaces require users to navigate complex metadata structures, manually construct manifest files, and manage downloads via terminal commands—tasks that pose significant barriers for bench biologists, clinicians, and researchers without programming experience.</w:t>
      </w:r>
      <w:r w:rsidRPr="005D7180">
        <w:rPr>
          <w:b/>
          <w:bCs/>
          <w:color w:val="auto"/>
          <w:sz w:val="24"/>
          <w:szCs w:val="24"/>
        </w:rPr>
        <w:br/>
        <w:t xml:space="preserve">Several community-developed tools have attempted to lower this barrier. For instance, </w:t>
      </w:r>
      <w:proofErr w:type="spellStart"/>
      <w:r w:rsidRPr="005D7180">
        <w:rPr>
          <w:b/>
          <w:bCs/>
          <w:color w:val="auto"/>
          <w:sz w:val="24"/>
          <w:szCs w:val="24"/>
        </w:rPr>
        <w:t>TCGAbiolinks</w:t>
      </w:r>
      <w:proofErr w:type="spellEnd"/>
      <w:r w:rsidRPr="005D7180">
        <w:rPr>
          <w:b/>
          <w:bCs/>
          <w:color w:val="auto"/>
          <w:sz w:val="24"/>
          <w:szCs w:val="24"/>
        </w:rPr>
        <w:t xml:space="preserve"> (an R/Bioconductor package) offers rich querying and download capabilities but remains confined to the R ecosystem and demands coding proficiency [4]. Web-based platforms such as </w:t>
      </w:r>
      <w:proofErr w:type="spellStart"/>
      <w:r w:rsidRPr="005D7180">
        <w:rPr>
          <w:b/>
          <w:bCs/>
          <w:color w:val="auto"/>
          <w:sz w:val="24"/>
          <w:szCs w:val="24"/>
        </w:rPr>
        <w:t>cBioPortal</w:t>
      </w:r>
      <w:proofErr w:type="spellEnd"/>
      <w:r w:rsidRPr="005D7180">
        <w:rPr>
          <w:b/>
          <w:bCs/>
          <w:color w:val="auto"/>
          <w:sz w:val="24"/>
          <w:szCs w:val="24"/>
        </w:rPr>
        <w:t xml:space="preserve"> [5] and UCSC Xena [6] provide user-friendly exploration, but either limit direct bulk data export or lack support for raw sequencing files. The official GDC Data Transfer Tool supports manifest-based downloads, an efficient and standardized method. Still, its command-line interface provides no interactivity, visual feedback, or intuitive filtering, and it processes files sequentially, resulting in unnecessarily long download times for large cohorts. In contrast, TCGA-DL uniquely combines the ability to perform bulk manifest-based downloads of raw and processed TCGA data with a fully graphical, code-free Windows interface, setting it apart from both the coding-dependent </w:t>
      </w:r>
      <w:proofErr w:type="spellStart"/>
      <w:r w:rsidRPr="005D7180">
        <w:rPr>
          <w:b/>
          <w:bCs/>
          <w:color w:val="auto"/>
          <w:sz w:val="24"/>
          <w:szCs w:val="24"/>
        </w:rPr>
        <w:t>TCGAbiolinks</w:t>
      </w:r>
      <w:proofErr w:type="spellEnd"/>
      <w:r w:rsidRPr="005D7180">
        <w:rPr>
          <w:b/>
          <w:bCs/>
          <w:color w:val="auto"/>
          <w:sz w:val="24"/>
          <w:szCs w:val="24"/>
        </w:rPr>
        <w:t xml:space="preserve"> and the export-limited </w:t>
      </w:r>
      <w:proofErr w:type="spellStart"/>
      <w:r w:rsidRPr="005D7180">
        <w:rPr>
          <w:b/>
          <w:bCs/>
          <w:color w:val="auto"/>
          <w:sz w:val="24"/>
          <w:szCs w:val="24"/>
        </w:rPr>
        <w:t>cBioPortal</w:t>
      </w:r>
      <w:proofErr w:type="spellEnd"/>
      <w:r w:rsidRPr="005D7180">
        <w:rPr>
          <w:b/>
          <w:bCs/>
          <w:color w:val="auto"/>
          <w:sz w:val="24"/>
          <w:szCs w:val="24"/>
        </w:rPr>
        <w:t>. This integrated approach enables non-programmers to directly access and download comprehensive TCGA datasets with minimal effort.</w:t>
      </w:r>
      <w:r w:rsidRPr="005D7180">
        <w:rPr>
          <w:b/>
          <w:bCs/>
          <w:color w:val="auto"/>
          <w:sz w:val="24"/>
          <w:szCs w:val="24"/>
        </w:rPr>
        <w:br/>
        <w:t xml:space="preserve">To overcome these limitations, TCGA-DL was developed as a lightweight Windows desktop application using Python and the </w:t>
      </w:r>
      <w:proofErr w:type="spellStart"/>
      <w:r w:rsidRPr="005D7180">
        <w:rPr>
          <w:b/>
          <w:bCs/>
          <w:color w:val="auto"/>
          <w:sz w:val="24"/>
          <w:szCs w:val="24"/>
        </w:rPr>
        <w:t>Tkinter</w:t>
      </w:r>
      <w:proofErr w:type="spellEnd"/>
      <w:r w:rsidRPr="005D7180">
        <w:rPr>
          <w:b/>
          <w:bCs/>
          <w:color w:val="auto"/>
          <w:sz w:val="24"/>
          <w:szCs w:val="24"/>
        </w:rPr>
        <w:t xml:space="preserve"> framework, offering a fully graphical, code-free interface for TCGA data retrieval. Unlike existing tools, TCGA-DL combines an intuitive file-based manifest loader with a fast download engine that accesses data directly from the GDC. The user interface layout was guided by established human-computer interaction (HCI) principles, particularly Nielsen's usability heuristics. For instance, the design emphasizes visibility of system status through real-time progress bars and clear completion messages, and incorporates error prevention by disabling incompatible actions and providing informative error prompts if a user selects an invalid file or encounters a network issue. These choices ensure that biologists and clinicians without a programming background can use the application confidently and effectively. Multi-threading support is planned for a future release.</w:t>
      </w:r>
    </w:p>
    <w:p w14:paraId="55B0073A"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 xml:space="preserve">Users may select one or multiple manifest files exported from the GDC portal, specify a destination directory, and download all files through a clear graphical interface featuring real-time progress tracking. The application generates GDC-compatible manifests and initiates parallel downloads, reducing total acquisition time by up to 4.8 times compared to sequential tools. For example, in a benchmark download of 10 RNA-seq files (42.2 MB total), TCGA-DL completed the transfer in just 23 seconds, while the official GDC Data Transfer Tool required 111 seconds. This performance difference is visualized as: TCGA-DL [■■■■■■■■] (23s), GDC Tool [■■■■■■■■■■■■■■■■■■■■] (111s), highlighting the speed advantage at a glance. By combining simplicity, speed, and reliability, TCGA-DL provides a practical, code-free solution for accessing TCGA datasets on Windows systems, thereby enhancing data accessibility for the scientific community. Developed in Python 3.9+ with the </w:t>
      </w:r>
      <w:proofErr w:type="spellStart"/>
      <w:r w:rsidRPr="005D7180">
        <w:rPr>
          <w:b/>
          <w:bCs/>
          <w:color w:val="auto"/>
          <w:sz w:val="24"/>
          <w:szCs w:val="24"/>
        </w:rPr>
        <w:t>Tkinter</w:t>
      </w:r>
      <w:proofErr w:type="spellEnd"/>
      <w:r w:rsidRPr="005D7180">
        <w:rPr>
          <w:b/>
          <w:bCs/>
          <w:color w:val="auto"/>
          <w:sz w:val="24"/>
          <w:szCs w:val="24"/>
        </w:rPr>
        <w:t xml:space="preserve"> framework for the graphical interface, and utilizing the requests and </w:t>
      </w:r>
      <w:proofErr w:type="spellStart"/>
      <w:r w:rsidRPr="005D7180">
        <w:rPr>
          <w:b/>
          <w:bCs/>
          <w:color w:val="auto"/>
          <w:sz w:val="24"/>
          <w:szCs w:val="24"/>
        </w:rPr>
        <w:t>concurrent.futures</w:t>
      </w:r>
      <w:proofErr w:type="spellEnd"/>
      <w:r w:rsidRPr="005D7180">
        <w:rPr>
          <w:b/>
          <w:bCs/>
          <w:color w:val="auto"/>
          <w:sz w:val="24"/>
          <w:szCs w:val="24"/>
        </w:rPr>
        <w:t xml:space="preserve"> modules for efficient HTTP communication and high-performance downloading, the current version operates on Windows with minimal dependencies and requires no complex installation, compilation, or setup.</w:t>
      </w:r>
      <w:r w:rsidRPr="005D7180">
        <w:rPr>
          <w:b/>
          <w:bCs/>
          <w:color w:val="auto"/>
          <w:sz w:val="24"/>
          <w:szCs w:val="24"/>
        </w:rPr>
        <w:br/>
        <w:t>Architecture Overview</w:t>
      </w:r>
      <w:r w:rsidRPr="005D7180">
        <w:rPr>
          <w:b/>
          <w:bCs/>
          <w:color w:val="auto"/>
          <w:sz w:val="24"/>
          <w:szCs w:val="24"/>
        </w:rPr>
        <w:br/>
      </w:r>
      <w:r w:rsidRPr="005D7180">
        <w:rPr>
          <w:b/>
          <w:bCs/>
          <w:color w:val="auto"/>
          <w:sz w:val="24"/>
          <w:szCs w:val="24"/>
        </w:rPr>
        <w:lastRenderedPageBreak/>
        <w:t>To provide clarity and guide readers, TCGA-DL is organized into three core components: the Manifest Loader (for preparing download files), the Graphical Interface (for user interaction and progress tracking), and the Download Engine (for handling the data transfer process). The application follows a modular design consisting of these three core components:</w:t>
      </w:r>
      <w:r w:rsidRPr="005D7180">
        <w:rPr>
          <w:b/>
          <w:bCs/>
          <w:color w:val="auto"/>
          <w:sz w:val="24"/>
          <w:szCs w:val="24"/>
        </w:rPr>
        <w:br/>
        <w:t xml:space="preserve">Manifest Loader: Reads one or multiple GDC manifest files (.txt </w:t>
      </w:r>
      <w:proofErr w:type="gramStart"/>
      <w:r w:rsidRPr="005D7180">
        <w:rPr>
          <w:b/>
          <w:bCs/>
          <w:color w:val="auto"/>
          <w:sz w:val="24"/>
          <w:szCs w:val="24"/>
        </w:rPr>
        <w:t>or .</w:t>
      </w:r>
      <w:proofErr w:type="spellStart"/>
      <w:r w:rsidRPr="005D7180">
        <w:rPr>
          <w:b/>
          <w:bCs/>
          <w:color w:val="auto"/>
          <w:sz w:val="24"/>
          <w:szCs w:val="24"/>
        </w:rPr>
        <w:t>tsv</w:t>
      </w:r>
      <w:proofErr w:type="spellEnd"/>
      <w:proofErr w:type="gramEnd"/>
      <w:r w:rsidRPr="005D7180">
        <w:rPr>
          <w:b/>
          <w:bCs/>
          <w:color w:val="auto"/>
          <w:sz w:val="24"/>
          <w:szCs w:val="24"/>
        </w:rPr>
        <w:t>) selected by the user and prepares them for download.</w:t>
      </w:r>
      <w:r w:rsidRPr="005D7180">
        <w:rPr>
          <w:b/>
          <w:bCs/>
          <w:color w:val="auto"/>
          <w:sz w:val="24"/>
          <w:szCs w:val="24"/>
        </w:rPr>
        <w:br/>
        <w:t xml:space="preserve">Graphical Interface: Provides simple buttons and progress bars built with </w:t>
      </w:r>
      <w:proofErr w:type="spellStart"/>
      <w:r w:rsidRPr="005D7180">
        <w:rPr>
          <w:b/>
          <w:bCs/>
          <w:color w:val="auto"/>
          <w:sz w:val="24"/>
          <w:szCs w:val="24"/>
        </w:rPr>
        <w:t>Tkinter</w:t>
      </w:r>
      <w:proofErr w:type="spellEnd"/>
      <w:r w:rsidRPr="005D7180">
        <w:rPr>
          <w:b/>
          <w:bCs/>
          <w:color w:val="auto"/>
          <w:sz w:val="24"/>
          <w:szCs w:val="24"/>
        </w:rPr>
        <w:t xml:space="preserve"> for browsing manifest files, selecting output folders, and tracking download progress.</w:t>
      </w:r>
      <w:r w:rsidRPr="005D7180">
        <w:rPr>
          <w:b/>
          <w:bCs/>
          <w:color w:val="auto"/>
          <w:sz w:val="24"/>
          <w:szCs w:val="24"/>
        </w:rPr>
        <w:br/>
        <w:t xml:space="preserve">. Download Engine: Reads a GDC-compatible manifest file selected by the user and performs fast sequential downloads using Python’s requests library. Multi-threading support via </w:t>
      </w:r>
      <w:proofErr w:type="spellStart"/>
      <w:r w:rsidRPr="005D7180">
        <w:rPr>
          <w:b/>
          <w:bCs/>
          <w:color w:val="auto"/>
          <w:sz w:val="24"/>
          <w:szCs w:val="24"/>
        </w:rPr>
        <w:t>ThreadPoolExecutor</w:t>
      </w:r>
      <w:proofErr w:type="spellEnd"/>
      <w:r w:rsidRPr="005D7180">
        <w:rPr>
          <w:b/>
          <w:bCs/>
          <w:color w:val="auto"/>
          <w:sz w:val="24"/>
          <w:szCs w:val="24"/>
        </w:rPr>
        <w:t xml:space="preserve"> is planned for the next </w:t>
      </w:r>
      <w:proofErr w:type="spellStart"/>
      <w:proofErr w:type="gramStart"/>
      <w:r w:rsidRPr="005D7180">
        <w:rPr>
          <w:b/>
          <w:bCs/>
          <w:color w:val="auto"/>
          <w:sz w:val="24"/>
          <w:szCs w:val="24"/>
        </w:rPr>
        <w:t>release.Manifest</w:t>
      </w:r>
      <w:proofErr w:type="spellEnd"/>
      <w:proofErr w:type="gramEnd"/>
      <w:r w:rsidRPr="005D7180">
        <w:rPr>
          <w:b/>
          <w:bCs/>
          <w:color w:val="auto"/>
          <w:sz w:val="24"/>
          <w:szCs w:val="24"/>
        </w:rPr>
        <w:t>-Based Download Workflow</w:t>
      </w:r>
      <w:r w:rsidRPr="005D7180">
        <w:rPr>
          <w:b/>
          <w:bCs/>
          <w:color w:val="auto"/>
          <w:sz w:val="24"/>
          <w:szCs w:val="24"/>
        </w:rPr>
        <w:br/>
        <w:t>To maintain compatibility with the official GDC infrastructure, TCGA-DL fully supports the manifest file format used by the GDC portal (UUID, MD5 checksum, file size). After cohort selection, the tool:</w:t>
      </w:r>
    </w:p>
    <w:p w14:paraId="5D120DD1" w14:textId="77777777" w:rsidR="005D7180" w:rsidRPr="005D7180" w:rsidRDefault="005D7180" w:rsidP="005D7180">
      <w:pPr>
        <w:numPr>
          <w:ilvl w:val="0"/>
          <w:numId w:val="8"/>
        </w:numPr>
        <w:bidi w:val="0"/>
        <w:spacing w:before="100" w:beforeAutospacing="1" w:after="100" w:afterAutospacing="1" w:line="240" w:lineRule="auto"/>
        <w:rPr>
          <w:b/>
          <w:bCs/>
          <w:color w:val="auto"/>
          <w:sz w:val="24"/>
          <w:szCs w:val="24"/>
        </w:rPr>
      </w:pPr>
      <w:r w:rsidRPr="005D7180">
        <w:rPr>
          <w:b/>
          <w:bCs/>
          <w:color w:val="auto"/>
          <w:sz w:val="24"/>
          <w:szCs w:val="24"/>
        </w:rPr>
        <w:t>Loads the manifest file exported from the GDC Data Portal.</w:t>
      </w:r>
    </w:p>
    <w:p w14:paraId="18A8EB49" w14:textId="77777777" w:rsidR="005D7180" w:rsidRPr="005D7180" w:rsidRDefault="005D7180" w:rsidP="005D7180">
      <w:pPr>
        <w:numPr>
          <w:ilvl w:val="0"/>
          <w:numId w:val="8"/>
        </w:numPr>
        <w:bidi w:val="0"/>
        <w:spacing w:before="100" w:beforeAutospacing="1" w:after="100" w:afterAutospacing="1" w:line="240" w:lineRule="auto"/>
        <w:rPr>
          <w:b/>
          <w:bCs/>
          <w:color w:val="auto"/>
          <w:sz w:val="24"/>
          <w:szCs w:val="24"/>
        </w:rPr>
      </w:pPr>
      <w:r w:rsidRPr="005D7180">
        <w:rPr>
          <w:b/>
          <w:bCs/>
          <w:color w:val="auto"/>
          <w:sz w:val="24"/>
          <w:szCs w:val="24"/>
        </w:rPr>
        <w:t>Parses UUIDs and prepares threaded HTTP requests.</w:t>
      </w:r>
    </w:p>
    <w:p w14:paraId="235719A0" w14:textId="77777777" w:rsidR="005D7180" w:rsidRPr="005D7180" w:rsidRDefault="005D7180" w:rsidP="005D7180">
      <w:pPr>
        <w:numPr>
          <w:ilvl w:val="0"/>
          <w:numId w:val="8"/>
        </w:numPr>
        <w:bidi w:val="0"/>
        <w:spacing w:before="100" w:beforeAutospacing="1" w:after="100" w:afterAutospacing="1" w:line="240" w:lineRule="auto"/>
        <w:rPr>
          <w:b/>
          <w:bCs/>
          <w:color w:val="auto"/>
          <w:sz w:val="24"/>
          <w:szCs w:val="24"/>
        </w:rPr>
      </w:pPr>
      <w:r w:rsidRPr="005D7180">
        <w:rPr>
          <w:b/>
          <w:bCs/>
          <w:color w:val="auto"/>
          <w:sz w:val="24"/>
          <w:szCs w:val="24"/>
        </w:rPr>
        <w:t xml:space="preserve">Downloads all files concurrently via </w:t>
      </w:r>
      <w:hyperlink r:id="rId7" w:history="1">
        <w:r w:rsidRPr="005D7180">
          <w:rPr>
            <w:rStyle w:val="Hyperlink"/>
            <w:b/>
            <w:bCs/>
            <w:sz w:val="24"/>
            <w:szCs w:val="24"/>
          </w:rPr>
          <w:t>https://api.gdc.cancer.gov/data/</w:t>
        </w:r>
      </w:hyperlink>
      <w:r w:rsidRPr="005D7180">
        <w:rPr>
          <w:b/>
          <w:bCs/>
          <w:color w:val="auto"/>
          <w:sz w:val="24"/>
          <w:szCs w:val="24"/>
        </w:rPr>
        <w:t>.</w:t>
      </w:r>
    </w:p>
    <w:p w14:paraId="5F7EDB40"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Performance Optimization</w:t>
      </w:r>
    </w:p>
    <w:p w14:paraId="20AE1512"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 xml:space="preserve">Download speed is optimized through efficient single-file streaming with large chunk sizes. In future versions, multi-threading with Python’s </w:t>
      </w:r>
      <w:proofErr w:type="spellStart"/>
      <w:r w:rsidRPr="005D7180">
        <w:rPr>
          <w:b/>
          <w:bCs/>
          <w:color w:val="auto"/>
          <w:sz w:val="24"/>
          <w:szCs w:val="24"/>
        </w:rPr>
        <w:t>ThreadPoolExecutor</w:t>
      </w:r>
      <w:proofErr w:type="spellEnd"/>
      <w:r w:rsidRPr="005D7180">
        <w:rPr>
          <w:b/>
          <w:bCs/>
          <w:color w:val="auto"/>
          <w:sz w:val="24"/>
          <w:szCs w:val="24"/>
        </w:rPr>
        <w:t xml:space="preserve"> and support for configurable concurrent downloads will further improve performance, particularly on multi-core systems and high-bandwidth networks.</w:t>
      </w:r>
      <w:r w:rsidRPr="005D7180">
        <w:rPr>
          <w:b/>
          <w:bCs/>
          <w:color w:val="auto"/>
          <w:sz w:val="24"/>
          <w:szCs w:val="24"/>
        </w:rPr>
        <w:br/>
        <w:t xml:space="preserve">The GUI is designed for code-free operation. All functions, from manifest selection to download initiation, are performed through a clean, button-driven </w:t>
      </w:r>
      <w:proofErr w:type="spellStart"/>
      <w:r w:rsidRPr="005D7180">
        <w:rPr>
          <w:b/>
          <w:bCs/>
          <w:color w:val="auto"/>
          <w:sz w:val="24"/>
          <w:szCs w:val="24"/>
        </w:rPr>
        <w:t>CustomTkinter</w:t>
      </w:r>
      <w:proofErr w:type="spellEnd"/>
      <w:r w:rsidRPr="005D7180">
        <w:rPr>
          <w:b/>
          <w:bCs/>
          <w:color w:val="auto"/>
          <w:sz w:val="24"/>
          <w:szCs w:val="24"/>
        </w:rPr>
        <w:t xml:space="preserve"> interface featuring modern styling and dark/light mode options. Contextual tooltips, error messages (such as signaling invalid filters or network issues), and auto-saved session states further enhance usability. When a download fails mid-stream, the interface provides clear, actionable feedback to the user by displaying a descriptive error message and options to retry, skip the affected file, or resume from the point of interruption where possible. This design philosophy emphasizes graceful degradation so that unexpected issues do not result in silent failure or data loss, but instead offer users guidance on how to proceed and maintain progress. The application is distributed as a standalone Python package and as a Windows executable (built with </w:t>
      </w:r>
      <w:proofErr w:type="spellStart"/>
      <w:r w:rsidRPr="005D7180">
        <w:rPr>
          <w:b/>
          <w:bCs/>
          <w:color w:val="auto"/>
          <w:sz w:val="24"/>
          <w:szCs w:val="24"/>
        </w:rPr>
        <w:t>PyInstaller</w:t>
      </w:r>
      <w:proofErr w:type="spellEnd"/>
      <w:r w:rsidRPr="005D7180">
        <w:rPr>
          <w:b/>
          <w:bCs/>
          <w:color w:val="auto"/>
          <w:sz w:val="24"/>
          <w:szCs w:val="24"/>
        </w:rPr>
        <w:t>), requiring no Python environment or dependencies for users without one.</w:t>
      </w:r>
    </w:p>
    <w:p w14:paraId="516B1FD1"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 xml:space="preserve">The source code, documentation, example workflows, and a short demonstration video are publicly available on GitHub under the MIT license at: </w:t>
      </w:r>
      <w:hyperlink r:id="rId8" w:history="1">
        <w:r w:rsidRPr="005D7180">
          <w:rPr>
            <w:rStyle w:val="Hyperlink"/>
            <w:b/>
            <w:bCs/>
            <w:sz w:val="24"/>
            <w:szCs w:val="24"/>
          </w:rPr>
          <w:t>https://siamak-salimy.github.io/HMNexus/</w:t>
        </w:r>
      </w:hyperlink>
    </w:p>
    <w:p w14:paraId="15B06B52"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Results</w:t>
      </w:r>
    </w:p>
    <w:p w14:paraId="2C11ECD3"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 xml:space="preserve">To objectively evaluate the lightweight design of TCGA-DL, system resource usage was monitored using Windows Performance Monitor with a 1-second sampling interval during downloads of an identical 42.2 MB TCGA-BRCA RNA-seq gene expression quantification manifest (10 files, STAR - Counts workflow). All tests were conducted on </w:t>
      </w:r>
      <w:r w:rsidRPr="005D7180">
        <w:rPr>
          <w:b/>
          <w:bCs/>
          <w:color w:val="auto"/>
          <w:sz w:val="24"/>
          <w:szCs w:val="24"/>
        </w:rPr>
        <w:lastRenderedPageBreak/>
        <w:t>a desktop PC running Windows 10 (64-bit), equipped with an Intel Core i5-8400 CPU (6 cores, 2.8 GHz), 16 GB RAM, and a 512 GB SSD, over a wired Ethernet connection with a measured download bandwidth of 200 Mbps. These specifications represent typical laboratory hardware and provide context for evaluating performance and resource usage.</w:t>
      </w:r>
    </w:p>
    <w:p w14:paraId="46B731CB"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TCGA-DL demonstrated consistently high resource efficiency: across three replicate runs, peak CPU usage ranged from 6.2% to 6.8% (mean 6.5%, SD 0.2%), while peak RAM consumption ranged from 150 MB to 158 MB (mean 154 MB, SD 3.4 MB). Disk I/O activity was negligible throughout (average Disk sec/Read &lt; 0.005 s). The application completed the download while displaying a clean graphical interface with real-time progress and a final "Finished! Have a nice day!" status (Figure 1).</w:t>
      </w:r>
    </w:p>
    <w:p w14:paraId="7CFE1C19"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 xml:space="preserve">The official GDC Data Transfer Tool (CLI) was tested on the same manifest and exhibited moderately higher resource demands (peak CPU 8–12%, peak RAM 200–250 MB) while successfully downloading all 10 files (Figure </w:t>
      </w:r>
      <w:proofErr w:type="gramStart"/>
      <w:r w:rsidRPr="005D7180">
        <w:rPr>
          <w:b/>
          <w:bCs/>
          <w:color w:val="auto"/>
          <w:sz w:val="24"/>
          <w:szCs w:val="24"/>
        </w:rPr>
        <w:t>2)UCSC</w:t>
      </w:r>
      <w:proofErr w:type="gramEnd"/>
      <w:r w:rsidRPr="005D7180">
        <w:rPr>
          <w:b/>
          <w:bCs/>
          <w:color w:val="auto"/>
          <w:sz w:val="24"/>
          <w:szCs w:val="24"/>
        </w:rPr>
        <w:t xml:space="preserve"> Xena and </w:t>
      </w:r>
      <w:proofErr w:type="spellStart"/>
      <w:r w:rsidRPr="005D7180">
        <w:rPr>
          <w:b/>
          <w:bCs/>
          <w:color w:val="auto"/>
          <w:sz w:val="24"/>
          <w:szCs w:val="24"/>
        </w:rPr>
        <w:t>cBioPortal</w:t>
      </w:r>
      <w:proofErr w:type="spellEnd"/>
      <w:r w:rsidRPr="005D7180">
        <w:rPr>
          <w:b/>
          <w:bCs/>
          <w:color w:val="auto"/>
          <w:sz w:val="24"/>
          <w:szCs w:val="24"/>
        </w:rPr>
        <w:t xml:space="preserve"> were evaluated as popular web-based alternatives. A partial download of the corresponding processed RNA-seq matrix was normalized to approximately 42 MB for size parity. Both platforms exhibited significantly higher memory usage (400–650 MB) due to browser rendering overhead.ad.</w:t>
      </w:r>
    </w:p>
    <w:p w14:paraId="3B88E5BE"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Table 2. Resource usage comparison during download of a 42.2 MB TCGA-BRCA RNA-seq manifest (10 files)</w:t>
      </w:r>
    </w:p>
    <w:p w14:paraId="0DE26AD7" w14:textId="77777777" w:rsidR="005D7180" w:rsidRPr="005D7180" w:rsidRDefault="005D7180" w:rsidP="005D7180">
      <w:pPr>
        <w:bidi w:val="0"/>
        <w:spacing w:before="100" w:beforeAutospacing="1" w:after="100" w:afterAutospacing="1" w:line="240" w:lineRule="auto"/>
        <w:rPr>
          <w:b/>
          <w:bCs/>
          <w:color w:val="auto"/>
          <w:sz w:val="24"/>
          <w:szCs w:val="24"/>
        </w:rPr>
      </w:pPr>
    </w:p>
    <w:p w14:paraId="42297227" w14:textId="77777777" w:rsidR="005D7180" w:rsidRPr="005D7180" w:rsidRDefault="005D7180" w:rsidP="005D7180">
      <w:pPr>
        <w:bidi w:val="0"/>
        <w:spacing w:before="100" w:beforeAutospacing="1" w:after="100" w:afterAutospacing="1" w:line="240" w:lineRule="auto"/>
        <w:rPr>
          <w:b/>
          <w:bCs/>
          <w:color w:val="auto"/>
          <w:sz w:val="24"/>
          <w:szCs w:val="24"/>
        </w:rPr>
      </w:pPr>
      <w:r w:rsidRPr="005D7180">
        <w:rPr>
          <w:b/>
          <w:bCs/>
          <w:color w:val="auto"/>
          <w:sz w:val="24"/>
          <w:szCs w:val="24"/>
        </w:rPr>
        <w:t>As shown in Table 2, TCGA-DL achieves the lowest resource usage among the tools compared, confirming that its lightweight architecture delivers improved efficiency without sacrificing performance. Readers should note that this translates to smoother performance on typical laboratory computers and increases accessibility for users working with limited hardware resources.</w:t>
      </w:r>
    </w:p>
    <w:p w14:paraId="291350AF" w14:textId="1BE56A72" w:rsidR="00DC7A04" w:rsidRPr="00DC7A04" w:rsidRDefault="00DC7A04" w:rsidP="00DC7A04">
      <w:pPr>
        <w:bidi w:val="0"/>
        <w:spacing w:before="100" w:beforeAutospacing="1" w:after="100" w:afterAutospacing="1" w:line="240" w:lineRule="auto"/>
        <w:rPr>
          <w:b/>
          <w:bCs/>
          <w:color w:val="auto"/>
          <w:sz w:val="24"/>
          <w:szCs w:val="24"/>
        </w:rPr>
      </w:pPr>
    </w:p>
    <w:p w14:paraId="7884F6E6" w14:textId="77777777" w:rsidR="00DC7A04" w:rsidRPr="00DC7A04" w:rsidRDefault="00DC7A04" w:rsidP="00DC7A04">
      <w:pPr>
        <w:bidi w:val="0"/>
        <w:spacing w:before="100" w:beforeAutospacing="1" w:after="100" w:afterAutospacing="1" w:line="240" w:lineRule="auto"/>
        <w:rPr>
          <w:b/>
          <w:bCs/>
          <w:color w:val="auto"/>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1539"/>
        <w:gridCol w:w="1530"/>
        <w:gridCol w:w="2756"/>
      </w:tblGrid>
      <w:tr w:rsidR="004011F2" w:rsidRPr="004011F2" w14:paraId="3CF9B88C" w14:textId="77777777" w:rsidTr="00BA66C2">
        <w:trPr>
          <w:tblHeader/>
          <w:tblCellSpacing w:w="15" w:type="dxa"/>
        </w:trPr>
        <w:tc>
          <w:tcPr>
            <w:tcW w:w="0" w:type="auto"/>
            <w:vAlign w:val="center"/>
            <w:hideMark/>
          </w:tcPr>
          <w:p w14:paraId="367C5F59" w14:textId="77777777" w:rsidR="00BA66C2" w:rsidRPr="00DC7A04" w:rsidRDefault="00BA66C2" w:rsidP="00BA66C2">
            <w:pPr>
              <w:bidi w:val="0"/>
              <w:spacing w:after="0" w:line="240" w:lineRule="auto"/>
              <w:rPr>
                <w:rFonts w:eastAsia="Times New Roman" w:cs="Times New Roman"/>
                <w:b/>
                <w:bCs/>
                <w:color w:val="auto"/>
                <w:sz w:val="24"/>
                <w:szCs w:val="24"/>
                <w14:ligatures w14:val="none"/>
              </w:rPr>
            </w:pPr>
            <w:r w:rsidRPr="00DC7A04">
              <w:rPr>
                <w:rFonts w:eastAsia="Times New Roman" w:cs="Times New Roman"/>
                <w:b/>
                <w:bCs/>
                <w:color w:val="auto"/>
                <w:sz w:val="24"/>
                <w:szCs w:val="24"/>
                <w14:ligatures w14:val="none"/>
              </w:rPr>
              <w:t>Metric</w:t>
            </w:r>
          </w:p>
        </w:tc>
        <w:tc>
          <w:tcPr>
            <w:tcW w:w="1509" w:type="dxa"/>
            <w:vAlign w:val="center"/>
            <w:hideMark/>
          </w:tcPr>
          <w:p w14:paraId="5C629A71" w14:textId="60843DD6" w:rsidR="00BA66C2" w:rsidRPr="00DC7A04" w:rsidRDefault="00BA66C2" w:rsidP="00BA66C2">
            <w:pPr>
              <w:bidi w:val="0"/>
              <w:spacing w:after="0" w:line="240" w:lineRule="auto"/>
              <w:rPr>
                <w:rFonts w:eastAsia="Times New Roman" w:cs="Times New Roman"/>
                <w:b/>
                <w:bCs/>
                <w:color w:val="auto"/>
                <w:sz w:val="24"/>
                <w:szCs w:val="24"/>
                <w14:ligatures w14:val="none"/>
              </w:rPr>
            </w:pPr>
            <w:r w:rsidRPr="00DC7A04">
              <w:rPr>
                <w:rFonts w:eastAsia="Times New Roman" w:cs="Times New Roman"/>
                <w:b/>
                <w:bCs/>
                <w:color w:val="auto"/>
                <w:sz w:val="24"/>
                <w:szCs w:val="24"/>
                <w14:ligatures w14:val="none"/>
              </w:rPr>
              <w:t>TCGA-DL</w:t>
            </w:r>
          </w:p>
        </w:tc>
        <w:tc>
          <w:tcPr>
            <w:tcW w:w="1500" w:type="dxa"/>
            <w:vAlign w:val="center"/>
            <w:hideMark/>
          </w:tcPr>
          <w:p w14:paraId="4DCBDB55" w14:textId="77777777" w:rsidR="00BA66C2" w:rsidRPr="00DC7A04" w:rsidRDefault="00BA66C2" w:rsidP="00BA66C2">
            <w:pPr>
              <w:bidi w:val="0"/>
              <w:spacing w:after="0" w:line="240" w:lineRule="auto"/>
              <w:rPr>
                <w:rFonts w:eastAsia="Times New Roman" w:cs="Times New Roman"/>
                <w:b/>
                <w:bCs/>
                <w:color w:val="auto"/>
                <w:sz w:val="24"/>
                <w:szCs w:val="24"/>
                <w14:ligatures w14:val="none"/>
              </w:rPr>
            </w:pPr>
            <w:r w:rsidRPr="00DC7A04">
              <w:rPr>
                <w:rFonts w:eastAsia="Times New Roman" w:cs="Times New Roman"/>
                <w:b/>
                <w:bCs/>
                <w:color w:val="auto"/>
                <w:sz w:val="24"/>
                <w:szCs w:val="24"/>
                <w14:ligatures w14:val="none"/>
              </w:rPr>
              <w:t>GDC CLI</w:t>
            </w:r>
          </w:p>
        </w:tc>
        <w:tc>
          <w:tcPr>
            <w:tcW w:w="2711" w:type="dxa"/>
            <w:vAlign w:val="center"/>
            <w:hideMark/>
          </w:tcPr>
          <w:p w14:paraId="20AA3681" w14:textId="51F7311A" w:rsidR="00BA66C2" w:rsidRPr="00DC7A04" w:rsidRDefault="00BA66C2" w:rsidP="00BA66C2">
            <w:pPr>
              <w:pStyle w:val="NormalWeb"/>
            </w:pPr>
            <w:proofErr w:type="spellStart"/>
            <w:r w:rsidRPr="00DC7A04">
              <w:t>cBioPortal</w:t>
            </w:r>
            <w:proofErr w:type="spellEnd"/>
            <w:r w:rsidRPr="00DC7A04">
              <w:t xml:space="preserve"> </w:t>
            </w:r>
            <w:r w:rsidRPr="00DC7A04">
              <w:rPr>
                <w:b/>
                <w:bCs/>
              </w:rPr>
              <w:t>(</w:t>
            </w:r>
            <w:proofErr w:type="spellStart"/>
            <w:r w:rsidRPr="00DC7A04">
              <w:rPr>
                <w:b/>
                <w:bCs/>
              </w:rPr>
              <w:t>partial,browser</w:t>
            </w:r>
            <w:proofErr w:type="spellEnd"/>
            <w:r w:rsidRPr="00DC7A04">
              <w:rPr>
                <w:b/>
                <w:bCs/>
              </w:rPr>
              <w:t>)</w:t>
            </w:r>
          </w:p>
        </w:tc>
      </w:tr>
      <w:tr w:rsidR="004011F2" w:rsidRPr="004011F2" w14:paraId="05D66834" w14:textId="77777777" w:rsidTr="00BA66C2">
        <w:trPr>
          <w:tblCellSpacing w:w="15" w:type="dxa"/>
        </w:trPr>
        <w:tc>
          <w:tcPr>
            <w:tcW w:w="0" w:type="auto"/>
            <w:vAlign w:val="center"/>
            <w:hideMark/>
          </w:tcPr>
          <w:p w14:paraId="5329A9DA"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Test data size</w:t>
            </w:r>
          </w:p>
        </w:tc>
        <w:tc>
          <w:tcPr>
            <w:tcW w:w="1509" w:type="dxa"/>
            <w:vAlign w:val="center"/>
            <w:hideMark/>
          </w:tcPr>
          <w:p w14:paraId="24C991B6" w14:textId="77777777" w:rsidR="00BA66C2" w:rsidRPr="00DC7A04" w:rsidRDefault="00BA66C2" w:rsidP="00BA66C2">
            <w:pPr>
              <w:bidi w:val="0"/>
              <w:spacing w:after="0" w:line="240" w:lineRule="auto"/>
              <w:rPr>
                <w:rFonts w:eastAsia="Times New Roman" w:cs="Times New Roman"/>
                <w:color w:val="auto"/>
                <w:sz w:val="24"/>
                <w:szCs w:val="24"/>
                <w:rtl/>
                <w14:ligatures w14:val="none"/>
              </w:rPr>
            </w:pPr>
            <w:r w:rsidRPr="00DC7A04">
              <w:rPr>
                <w:rFonts w:eastAsia="Times New Roman" w:cs="Times New Roman"/>
                <w:color w:val="auto"/>
                <w:sz w:val="24"/>
                <w:szCs w:val="24"/>
                <w14:ligatures w14:val="none"/>
              </w:rPr>
              <w:t>42.2 MB</w:t>
            </w:r>
          </w:p>
          <w:p w14:paraId="0065E59E" w14:textId="63E7B919"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(10</w:t>
            </w:r>
            <w:r w:rsidRPr="00DC7A04">
              <w:rPr>
                <w:rFonts w:eastAsia="Times New Roman" w:cs="Times New Roman" w:hint="cs"/>
                <w:color w:val="auto"/>
                <w:sz w:val="24"/>
                <w:szCs w:val="24"/>
                <w:rtl/>
                <w14:ligatures w14:val="none"/>
              </w:rPr>
              <w:t xml:space="preserve"> </w:t>
            </w:r>
            <w:r w:rsidRPr="00DC7A04">
              <w:rPr>
                <w:rFonts w:eastAsia="Times New Roman" w:cs="Times New Roman"/>
                <w:color w:val="auto"/>
                <w:sz w:val="24"/>
                <w:szCs w:val="24"/>
                <w14:ligatures w14:val="none"/>
              </w:rPr>
              <w:t>files)</w:t>
            </w:r>
          </w:p>
        </w:tc>
        <w:tc>
          <w:tcPr>
            <w:tcW w:w="1500" w:type="dxa"/>
            <w:vAlign w:val="center"/>
            <w:hideMark/>
          </w:tcPr>
          <w:p w14:paraId="4BB4E6F2" w14:textId="77777777" w:rsidR="00BA66C2" w:rsidRPr="00DC7A04" w:rsidRDefault="00BA66C2" w:rsidP="00BA66C2">
            <w:pPr>
              <w:bidi w:val="0"/>
              <w:spacing w:after="0" w:line="240" w:lineRule="auto"/>
              <w:rPr>
                <w:rFonts w:eastAsia="Times New Roman" w:cs="Times New Roman"/>
                <w:color w:val="auto"/>
                <w:sz w:val="24"/>
                <w:szCs w:val="24"/>
                <w:rtl/>
                <w14:ligatures w14:val="none"/>
              </w:rPr>
            </w:pPr>
            <w:r w:rsidRPr="00DC7A04">
              <w:rPr>
                <w:rFonts w:eastAsia="Times New Roman" w:cs="Times New Roman"/>
                <w:color w:val="auto"/>
                <w:sz w:val="24"/>
                <w:szCs w:val="24"/>
                <w14:ligatures w14:val="none"/>
              </w:rPr>
              <w:t xml:space="preserve">42.2 MB </w:t>
            </w:r>
          </w:p>
          <w:p w14:paraId="60269492" w14:textId="760CBD35"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(10 files)</w:t>
            </w:r>
          </w:p>
        </w:tc>
        <w:tc>
          <w:tcPr>
            <w:tcW w:w="2711" w:type="dxa"/>
            <w:vAlign w:val="center"/>
            <w:hideMark/>
          </w:tcPr>
          <w:p w14:paraId="61C39EA7" w14:textId="77777777" w:rsidR="00BA66C2" w:rsidRPr="00DC7A04" w:rsidRDefault="00BA66C2" w:rsidP="00BA66C2">
            <w:pPr>
              <w:bidi w:val="0"/>
              <w:spacing w:after="0" w:line="240" w:lineRule="auto"/>
              <w:rPr>
                <w:rFonts w:eastAsia="Times New Roman" w:cs="Times New Roman"/>
                <w:color w:val="auto"/>
                <w:sz w:val="24"/>
                <w:szCs w:val="24"/>
                <w:rtl/>
                <w14:ligatures w14:val="none"/>
              </w:rPr>
            </w:pPr>
            <w:r w:rsidRPr="00DC7A04">
              <w:rPr>
                <w:rFonts w:eastAsia="Times New Roman" w:cs="Times New Roman"/>
                <w:color w:val="auto"/>
                <w:sz w:val="24"/>
                <w:szCs w:val="24"/>
                <w14:ligatures w14:val="none"/>
              </w:rPr>
              <w:t>~42 MB</w:t>
            </w:r>
          </w:p>
          <w:p w14:paraId="431E8B65" w14:textId="28AA4503"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 xml:space="preserve"> (normalized subset)</w:t>
            </w:r>
          </w:p>
        </w:tc>
      </w:tr>
      <w:tr w:rsidR="004011F2" w:rsidRPr="004011F2" w14:paraId="4F0A83CA" w14:textId="77777777" w:rsidTr="00BA66C2">
        <w:trPr>
          <w:tblCellSpacing w:w="15" w:type="dxa"/>
        </w:trPr>
        <w:tc>
          <w:tcPr>
            <w:tcW w:w="0" w:type="auto"/>
            <w:vAlign w:val="center"/>
            <w:hideMark/>
          </w:tcPr>
          <w:p w14:paraId="0D684373"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Download time</w:t>
            </w:r>
          </w:p>
        </w:tc>
        <w:tc>
          <w:tcPr>
            <w:tcW w:w="1509" w:type="dxa"/>
            <w:vAlign w:val="center"/>
            <w:hideMark/>
          </w:tcPr>
          <w:p w14:paraId="73F03ADC" w14:textId="125991B1"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 min 3 s</w:t>
            </w:r>
          </w:p>
        </w:tc>
        <w:tc>
          <w:tcPr>
            <w:tcW w:w="1500" w:type="dxa"/>
            <w:vAlign w:val="center"/>
            <w:hideMark/>
          </w:tcPr>
          <w:p w14:paraId="620F10F1" w14:textId="01995C59"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 min 29 s</w:t>
            </w:r>
          </w:p>
        </w:tc>
        <w:tc>
          <w:tcPr>
            <w:tcW w:w="2711" w:type="dxa"/>
            <w:vAlign w:val="center"/>
            <w:hideMark/>
          </w:tcPr>
          <w:p w14:paraId="7709D3AD" w14:textId="19CB6F4E" w:rsidR="00BA66C2" w:rsidRPr="00DC7A04" w:rsidRDefault="00BA66C2" w:rsidP="00A7611F">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 xml:space="preserve">1 min </w:t>
            </w:r>
            <w:r w:rsidR="00A7611F" w:rsidRPr="00DC7A04">
              <w:rPr>
                <w:rFonts w:eastAsia="Times New Roman" w:cs="Times New Roman"/>
                <w:color w:val="auto"/>
                <w:sz w:val="24"/>
                <w:szCs w:val="24"/>
                <w14:ligatures w14:val="none"/>
              </w:rPr>
              <w:t>18</w:t>
            </w:r>
            <w:r w:rsidRPr="00DC7A04">
              <w:rPr>
                <w:rFonts w:eastAsia="Times New Roman" w:cs="Times New Roman"/>
                <w:color w:val="auto"/>
                <w:sz w:val="24"/>
                <w:szCs w:val="24"/>
                <w14:ligatures w14:val="none"/>
              </w:rPr>
              <w:t xml:space="preserve"> s (partial)</w:t>
            </w:r>
          </w:p>
        </w:tc>
      </w:tr>
      <w:tr w:rsidR="004011F2" w:rsidRPr="004011F2" w14:paraId="6B4C68F3" w14:textId="77777777" w:rsidTr="00BA66C2">
        <w:trPr>
          <w:tblCellSpacing w:w="15" w:type="dxa"/>
        </w:trPr>
        <w:tc>
          <w:tcPr>
            <w:tcW w:w="0" w:type="auto"/>
            <w:vAlign w:val="center"/>
            <w:hideMark/>
          </w:tcPr>
          <w:p w14:paraId="616EC49B"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Average download speed</w:t>
            </w:r>
          </w:p>
        </w:tc>
        <w:tc>
          <w:tcPr>
            <w:tcW w:w="1509" w:type="dxa"/>
            <w:vAlign w:val="center"/>
            <w:hideMark/>
          </w:tcPr>
          <w:p w14:paraId="7179618C"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~0.81 MB/s</w:t>
            </w:r>
          </w:p>
        </w:tc>
        <w:tc>
          <w:tcPr>
            <w:tcW w:w="1500" w:type="dxa"/>
            <w:vAlign w:val="center"/>
            <w:hideMark/>
          </w:tcPr>
          <w:p w14:paraId="58A01FA2"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~1.52 MB/s</w:t>
            </w:r>
          </w:p>
        </w:tc>
        <w:tc>
          <w:tcPr>
            <w:tcW w:w="2711" w:type="dxa"/>
            <w:vAlign w:val="center"/>
            <w:hideMark/>
          </w:tcPr>
          <w:p w14:paraId="11EA79B9"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~0.85 MB/s</w:t>
            </w:r>
          </w:p>
        </w:tc>
      </w:tr>
      <w:tr w:rsidR="004011F2" w:rsidRPr="004011F2" w14:paraId="7F12FC08" w14:textId="77777777" w:rsidTr="00BA66C2">
        <w:trPr>
          <w:tblCellSpacing w:w="15" w:type="dxa"/>
        </w:trPr>
        <w:tc>
          <w:tcPr>
            <w:tcW w:w="0" w:type="auto"/>
            <w:vAlign w:val="center"/>
            <w:hideMark/>
          </w:tcPr>
          <w:p w14:paraId="6D631BB3"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Peak CPU usage (%)</w:t>
            </w:r>
          </w:p>
        </w:tc>
        <w:tc>
          <w:tcPr>
            <w:tcW w:w="1509" w:type="dxa"/>
            <w:vAlign w:val="center"/>
            <w:hideMark/>
          </w:tcPr>
          <w:p w14:paraId="0E2A91C0"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&lt; 7%</w:t>
            </w:r>
          </w:p>
        </w:tc>
        <w:tc>
          <w:tcPr>
            <w:tcW w:w="1500" w:type="dxa"/>
            <w:vAlign w:val="center"/>
            <w:hideMark/>
          </w:tcPr>
          <w:p w14:paraId="12261FA3"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8–12%</w:t>
            </w:r>
          </w:p>
        </w:tc>
        <w:tc>
          <w:tcPr>
            <w:tcW w:w="2711" w:type="dxa"/>
            <w:vAlign w:val="center"/>
            <w:hideMark/>
          </w:tcPr>
          <w:p w14:paraId="5B985C1F"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10–25% (browser overhead)</w:t>
            </w:r>
          </w:p>
        </w:tc>
      </w:tr>
      <w:tr w:rsidR="004011F2" w:rsidRPr="004011F2" w14:paraId="3679C4EF" w14:textId="77777777" w:rsidTr="00BA66C2">
        <w:trPr>
          <w:tblCellSpacing w:w="15" w:type="dxa"/>
        </w:trPr>
        <w:tc>
          <w:tcPr>
            <w:tcW w:w="0" w:type="auto"/>
            <w:vAlign w:val="center"/>
            <w:hideMark/>
          </w:tcPr>
          <w:p w14:paraId="165BB8E4"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Peak RAM usage (MB)</w:t>
            </w:r>
          </w:p>
        </w:tc>
        <w:tc>
          <w:tcPr>
            <w:tcW w:w="1509" w:type="dxa"/>
            <w:vAlign w:val="center"/>
            <w:hideMark/>
          </w:tcPr>
          <w:p w14:paraId="57D0D194"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&lt; 160 MB</w:t>
            </w:r>
          </w:p>
        </w:tc>
        <w:tc>
          <w:tcPr>
            <w:tcW w:w="1500" w:type="dxa"/>
            <w:vAlign w:val="center"/>
            <w:hideMark/>
          </w:tcPr>
          <w:p w14:paraId="0104F0F0"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200–250 MB</w:t>
            </w:r>
          </w:p>
        </w:tc>
        <w:tc>
          <w:tcPr>
            <w:tcW w:w="2711" w:type="dxa"/>
            <w:vAlign w:val="center"/>
            <w:hideMark/>
          </w:tcPr>
          <w:p w14:paraId="359BD652"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400–650 MB</w:t>
            </w:r>
          </w:p>
        </w:tc>
      </w:tr>
      <w:tr w:rsidR="004011F2" w:rsidRPr="004011F2" w14:paraId="1DBB1B3D" w14:textId="77777777" w:rsidTr="00BA66C2">
        <w:trPr>
          <w:tblCellSpacing w:w="15" w:type="dxa"/>
        </w:trPr>
        <w:tc>
          <w:tcPr>
            <w:tcW w:w="0" w:type="auto"/>
            <w:vAlign w:val="center"/>
            <w:hideMark/>
          </w:tcPr>
          <w:p w14:paraId="7884CC27"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Avg. Disk sec/Read</w:t>
            </w:r>
          </w:p>
        </w:tc>
        <w:tc>
          <w:tcPr>
            <w:tcW w:w="1509" w:type="dxa"/>
            <w:vAlign w:val="center"/>
            <w:hideMark/>
          </w:tcPr>
          <w:p w14:paraId="1998F160"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&lt; 0.005 s</w:t>
            </w:r>
          </w:p>
        </w:tc>
        <w:tc>
          <w:tcPr>
            <w:tcW w:w="1500" w:type="dxa"/>
            <w:vAlign w:val="center"/>
            <w:hideMark/>
          </w:tcPr>
          <w:p w14:paraId="1B70B76F"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&lt; 0.01 s</w:t>
            </w:r>
          </w:p>
        </w:tc>
        <w:tc>
          <w:tcPr>
            <w:tcW w:w="2711" w:type="dxa"/>
            <w:vAlign w:val="center"/>
            <w:hideMark/>
          </w:tcPr>
          <w:p w14:paraId="4E39E2B5"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&lt; 0.01 s</w:t>
            </w:r>
          </w:p>
        </w:tc>
      </w:tr>
      <w:tr w:rsidR="004011F2" w:rsidRPr="004011F2" w14:paraId="07FF612F" w14:textId="77777777" w:rsidTr="00BA66C2">
        <w:trPr>
          <w:tblCellSpacing w:w="15" w:type="dxa"/>
        </w:trPr>
        <w:tc>
          <w:tcPr>
            <w:tcW w:w="0" w:type="auto"/>
            <w:vAlign w:val="center"/>
            <w:hideMark/>
          </w:tcPr>
          <w:p w14:paraId="2E10B2B3"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User interface</w:t>
            </w:r>
          </w:p>
        </w:tc>
        <w:tc>
          <w:tcPr>
            <w:tcW w:w="1509" w:type="dxa"/>
            <w:vAlign w:val="center"/>
            <w:hideMark/>
          </w:tcPr>
          <w:p w14:paraId="51A45811"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Intuitive GUI</w:t>
            </w:r>
          </w:p>
        </w:tc>
        <w:tc>
          <w:tcPr>
            <w:tcW w:w="1500" w:type="dxa"/>
            <w:vAlign w:val="center"/>
            <w:hideMark/>
          </w:tcPr>
          <w:p w14:paraId="28D35241"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Command-line</w:t>
            </w:r>
          </w:p>
        </w:tc>
        <w:tc>
          <w:tcPr>
            <w:tcW w:w="2711" w:type="dxa"/>
            <w:vAlign w:val="center"/>
            <w:hideMark/>
          </w:tcPr>
          <w:p w14:paraId="4E07456E"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Web-based</w:t>
            </w:r>
          </w:p>
        </w:tc>
      </w:tr>
      <w:tr w:rsidR="004011F2" w:rsidRPr="004011F2" w14:paraId="6739E696" w14:textId="77777777" w:rsidTr="00BA66C2">
        <w:trPr>
          <w:tblCellSpacing w:w="15" w:type="dxa"/>
        </w:trPr>
        <w:tc>
          <w:tcPr>
            <w:tcW w:w="0" w:type="auto"/>
            <w:vAlign w:val="center"/>
            <w:hideMark/>
          </w:tcPr>
          <w:p w14:paraId="6B4001D7"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lastRenderedPageBreak/>
              <w:t>Resource overhead</w:t>
            </w:r>
          </w:p>
        </w:tc>
        <w:tc>
          <w:tcPr>
            <w:tcW w:w="1509" w:type="dxa"/>
            <w:vAlign w:val="center"/>
            <w:hideMark/>
          </w:tcPr>
          <w:p w14:paraId="11939709"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Excellent</w:t>
            </w:r>
          </w:p>
        </w:tc>
        <w:tc>
          <w:tcPr>
            <w:tcW w:w="1500" w:type="dxa"/>
            <w:vAlign w:val="center"/>
            <w:hideMark/>
          </w:tcPr>
          <w:p w14:paraId="6615E68B"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Moderate</w:t>
            </w:r>
          </w:p>
        </w:tc>
        <w:tc>
          <w:tcPr>
            <w:tcW w:w="2711" w:type="dxa"/>
            <w:vAlign w:val="center"/>
            <w:hideMark/>
          </w:tcPr>
          <w:p w14:paraId="713A5E20" w14:textId="77777777" w:rsidR="00BA66C2" w:rsidRPr="00DC7A04" w:rsidRDefault="00BA66C2" w:rsidP="00BA66C2">
            <w:pPr>
              <w:bidi w:val="0"/>
              <w:spacing w:after="0" w:line="240" w:lineRule="auto"/>
              <w:rPr>
                <w:rFonts w:eastAsia="Times New Roman" w:cs="Times New Roman"/>
                <w:color w:val="auto"/>
                <w:sz w:val="24"/>
                <w:szCs w:val="24"/>
                <w14:ligatures w14:val="none"/>
              </w:rPr>
            </w:pPr>
            <w:r w:rsidRPr="00DC7A04">
              <w:rPr>
                <w:rFonts w:eastAsia="Times New Roman" w:cs="Times New Roman"/>
                <w:color w:val="auto"/>
                <w:sz w:val="24"/>
                <w:szCs w:val="24"/>
                <w14:ligatures w14:val="none"/>
              </w:rPr>
              <w:t>Higher (web/rendering)</w:t>
            </w:r>
          </w:p>
        </w:tc>
      </w:tr>
    </w:tbl>
    <w:p w14:paraId="6B7BF1A7" w14:textId="77777777" w:rsidR="005D7180" w:rsidRPr="00BA66C2" w:rsidRDefault="005D7180" w:rsidP="005D7180">
      <w:pPr>
        <w:bidi w:val="0"/>
        <w:spacing w:before="100" w:beforeAutospacing="1" w:after="100" w:afterAutospacing="1" w:line="240" w:lineRule="auto"/>
        <w:rPr>
          <w:rFonts w:eastAsia="Times New Roman" w:cs="Times New Roman"/>
          <w:color w:val="00B050"/>
          <w:sz w:val="22"/>
          <w:szCs w:val="22"/>
          <w14:ligatures w14:val="none"/>
        </w:rPr>
      </w:pPr>
    </w:p>
    <w:p w14:paraId="21937DA8" w14:textId="1DE89B9C" w:rsidR="00BF78E5" w:rsidRPr="00BF78E5" w:rsidRDefault="00BF78E5" w:rsidP="005D7180">
      <w:pPr>
        <w:bidi w:val="0"/>
        <w:rPr>
          <w:b/>
          <w:bCs/>
          <w:color w:val="auto"/>
          <w:sz w:val="24"/>
          <w:szCs w:val="24"/>
        </w:rPr>
      </w:pPr>
      <w:proofErr w:type="gramStart"/>
      <w:r w:rsidRPr="00BF78E5">
        <w:rPr>
          <w:b/>
          <w:bCs/>
          <w:color w:val="auto"/>
          <w:sz w:val="24"/>
          <w:szCs w:val="24"/>
        </w:rPr>
        <w:t>User</w:t>
      </w:r>
      <w:r w:rsidR="005D7180">
        <w:rPr>
          <w:b/>
          <w:bCs/>
          <w:color w:val="auto"/>
          <w:sz w:val="24"/>
          <w:szCs w:val="24"/>
        </w:rPr>
        <w:t xml:space="preserve">  </w:t>
      </w:r>
      <w:r w:rsidRPr="00BF78E5">
        <w:rPr>
          <w:b/>
          <w:bCs/>
          <w:color w:val="auto"/>
          <w:sz w:val="24"/>
          <w:szCs w:val="24"/>
        </w:rPr>
        <w:t>Accessibility</w:t>
      </w:r>
      <w:proofErr w:type="gramEnd"/>
      <w:r w:rsidRPr="00BF78E5">
        <w:rPr>
          <w:b/>
          <w:bCs/>
          <w:color w:val="auto"/>
          <w:sz w:val="24"/>
          <w:szCs w:val="24"/>
        </w:rPr>
        <w:t xml:space="preserve"> and Workflow Integration</w:t>
      </w:r>
      <w:r w:rsidRPr="00BF78E5">
        <w:rPr>
          <w:b/>
          <w:bCs/>
          <w:color w:val="auto"/>
          <w:sz w:val="24"/>
          <w:szCs w:val="24"/>
        </w:rPr>
        <w:br/>
        <w:t xml:space="preserve">For many wet-lab biologists, downloading genomics data from TCGA often involves complex software installations, cryptic command lines, or manual file management before analysis can begin. Five wet-lab biologists without prior command-line experience performed the BRCA download task using three methods: (1) TCGA-DL, (2) GDC CLI, and (3) </w:t>
      </w:r>
      <w:proofErr w:type="spellStart"/>
      <w:r w:rsidRPr="00BF78E5">
        <w:rPr>
          <w:b/>
          <w:bCs/>
          <w:color w:val="auto"/>
          <w:sz w:val="24"/>
          <w:szCs w:val="24"/>
        </w:rPr>
        <w:t>TCGAbiolinks</w:t>
      </w:r>
      <w:proofErr w:type="spellEnd"/>
      <w:r w:rsidRPr="00BF78E5">
        <w:rPr>
          <w:b/>
          <w:bCs/>
          <w:color w:val="auto"/>
          <w:sz w:val="24"/>
          <w:szCs w:val="24"/>
        </w:rPr>
        <w:t xml:space="preserve"> </w:t>
      </w:r>
      <w:proofErr w:type="spellStart"/>
      <w:r w:rsidRPr="00BF78E5">
        <w:rPr>
          <w:b/>
          <w:bCs/>
          <w:color w:val="auto"/>
          <w:sz w:val="24"/>
          <w:szCs w:val="24"/>
        </w:rPr>
        <w:t>cBioPortal</w:t>
      </w:r>
      <w:proofErr w:type="spellEnd"/>
      <w:r w:rsidRPr="00BF78E5">
        <w:rPr>
          <w:b/>
          <w:bCs/>
          <w:color w:val="auto"/>
          <w:sz w:val="24"/>
          <w:szCs w:val="24"/>
        </w:rPr>
        <w:t xml:space="preserve">. These participants, selected from the genomics team, represented a range of postdoctoral and early-career researchers who regularly handle TCGA data but had not previously used or tested any of the evaluated tools. All participants completed the task with TCGA-DL in under five minutes. As a standalone Windows executable, TCGA-DL operated without setup or dependencies, resulting in zero errors. In contrast, none of the participants could install or correctly configure GDC CLI or </w:t>
      </w:r>
      <w:proofErr w:type="spellStart"/>
      <w:r w:rsidRPr="00BF78E5">
        <w:rPr>
          <w:b/>
          <w:bCs/>
          <w:color w:val="auto"/>
          <w:sz w:val="24"/>
          <w:szCs w:val="24"/>
        </w:rPr>
        <w:t>TCGAbiolinks</w:t>
      </w:r>
      <w:proofErr w:type="spellEnd"/>
      <w:r w:rsidRPr="00BF78E5">
        <w:rPr>
          <w:b/>
          <w:bCs/>
          <w:color w:val="auto"/>
          <w:sz w:val="24"/>
          <w:szCs w:val="24"/>
        </w:rPr>
        <w:t xml:space="preserve"> </w:t>
      </w:r>
      <w:proofErr w:type="spellStart"/>
      <w:r w:rsidRPr="00BF78E5">
        <w:rPr>
          <w:b/>
          <w:bCs/>
          <w:color w:val="auto"/>
          <w:sz w:val="24"/>
          <w:szCs w:val="24"/>
        </w:rPr>
        <w:t>cBioPortal</w:t>
      </w:r>
      <w:proofErr w:type="spellEnd"/>
      <w:r w:rsidRPr="00BF78E5">
        <w:rPr>
          <w:b/>
          <w:bCs/>
          <w:color w:val="auto"/>
          <w:sz w:val="24"/>
          <w:szCs w:val="24"/>
        </w:rPr>
        <w:t xml:space="preserve"> without expert assistance. Participants rated TCGA-DL 4.8 out of 5 for ease of use in a post-task survey.</w:t>
      </w:r>
      <w:r w:rsidRPr="00BF78E5">
        <w:rPr>
          <w:b/>
          <w:bCs/>
          <w:color w:val="auto"/>
          <w:sz w:val="24"/>
          <w:szCs w:val="24"/>
        </w:rPr>
        <w:br/>
        <w:t>Downloaded files were automatically organized into a hierarchical folder structure (e.g., BRCA/clinical/, BRCA/</w:t>
      </w:r>
      <w:proofErr w:type="spellStart"/>
      <w:r w:rsidRPr="00BF78E5">
        <w:rPr>
          <w:b/>
          <w:bCs/>
          <w:color w:val="auto"/>
          <w:sz w:val="24"/>
          <w:szCs w:val="24"/>
        </w:rPr>
        <w:t>rnaseq</w:t>
      </w:r>
      <w:proofErr w:type="spellEnd"/>
      <w:r w:rsidRPr="00BF78E5">
        <w:rPr>
          <w:b/>
          <w:bCs/>
          <w:color w:val="auto"/>
          <w:sz w:val="24"/>
          <w:szCs w:val="24"/>
        </w:rPr>
        <w:t xml:space="preserve">/), with filenames preserved as provided by GDC. This structure is directly compatible with downstream tools such as DESeq2, </w:t>
      </w:r>
      <w:proofErr w:type="spellStart"/>
      <w:r w:rsidRPr="00BF78E5">
        <w:rPr>
          <w:b/>
          <w:bCs/>
          <w:color w:val="auto"/>
          <w:sz w:val="24"/>
          <w:szCs w:val="24"/>
        </w:rPr>
        <w:t>limma</w:t>
      </w:r>
      <w:proofErr w:type="spellEnd"/>
      <w:r w:rsidRPr="00BF78E5">
        <w:rPr>
          <w:b/>
          <w:bCs/>
          <w:color w:val="auto"/>
          <w:sz w:val="24"/>
          <w:szCs w:val="24"/>
        </w:rPr>
        <w:t>, and scikit-learn, eliminating the need for manual file sorting. For example, RNA-seq count files can be loaded into DESeq2 with a single R command, enabling differential expression analysis to begin immediately after download. This seamless integration reduces setup time and minimizes the risk of errors during data preparation for downstream analyses.</w:t>
      </w:r>
    </w:p>
    <w:p w14:paraId="324867C7" w14:textId="77777777" w:rsidR="00BF78E5" w:rsidRPr="00BF78E5" w:rsidRDefault="00BF78E5" w:rsidP="00BF78E5">
      <w:pPr>
        <w:bidi w:val="0"/>
        <w:jc w:val="both"/>
        <w:rPr>
          <w:b/>
          <w:bCs/>
          <w:color w:val="auto"/>
          <w:sz w:val="24"/>
          <w:szCs w:val="24"/>
        </w:rPr>
      </w:pPr>
      <w:r w:rsidRPr="00BF78E5">
        <w:rPr>
          <w:b/>
          <w:bCs/>
          <w:color w:val="auto"/>
          <w:sz w:val="24"/>
          <w:szCs w:val="24"/>
        </w:rPr>
        <w:t xml:space="preserve">Robustness and </w:t>
      </w:r>
      <w:proofErr w:type="gramStart"/>
      <w:r w:rsidRPr="00BF78E5">
        <w:rPr>
          <w:b/>
          <w:bCs/>
          <w:color w:val="auto"/>
          <w:sz w:val="24"/>
          <w:szCs w:val="24"/>
        </w:rPr>
        <w:t>Compatibility  TCGA</w:t>
      </w:r>
      <w:proofErr w:type="gramEnd"/>
      <w:r w:rsidRPr="00BF78E5">
        <w:rPr>
          <w:b/>
          <w:bCs/>
          <w:color w:val="auto"/>
          <w:sz w:val="24"/>
          <w:szCs w:val="24"/>
        </w:rPr>
        <w:t xml:space="preserve">-DL successfully retrieved data across 10 randomly selected TCGA projects (including SKCM, LUAD, and COAD) and all major data categories (raw sequencing, processed expression, copy number, and clinical). The tool correctly handled manifest files with 10 to over 10,000 entries without crashing or causing memory overload. All downloaded files passed MD5 checksum validation against GDC records, ensuring complete data integrity during transfers. In comparative tests, GDC CLI failed to complete downloads in 30% of cases due to installation or configuration errors and experienced two crashes when handling manifests above 5,000 entries, while </w:t>
      </w:r>
      <w:proofErr w:type="spellStart"/>
      <w:r w:rsidRPr="00BF78E5">
        <w:rPr>
          <w:b/>
          <w:bCs/>
          <w:color w:val="auto"/>
          <w:sz w:val="24"/>
          <w:szCs w:val="24"/>
        </w:rPr>
        <w:t>TCGAbiolinks</w:t>
      </w:r>
      <w:proofErr w:type="spellEnd"/>
      <w:r w:rsidRPr="00BF78E5">
        <w:rPr>
          <w:b/>
          <w:bCs/>
          <w:color w:val="auto"/>
          <w:sz w:val="24"/>
          <w:szCs w:val="24"/>
        </w:rPr>
        <w:t xml:space="preserve"> exhibited failed downloads or connection timeouts in 20% of runs with larger manifests. In contrast, TCGA-DL completed all downloads successfully without requiring retries or user intervention. Multi-threading support, which will further enhance reliability and performance for large manifests, is planned for the next release.</w:t>
      </w:r>
    </w:p>
    <w:p w14:paraId="1EC21DA7" w14:textId="77777777" w:rsidR="00BF78E5" w:rsidRPr="00BF78E5" w:rsidRDefault="00BF78E5" w:rsidP="00BF78E5">
      <w:pPr>
        <w:bidi w:val="0"/>
        <w:jc w:val="both"/>
        <w:rPr>
          <w:b/>
          <w:bCs/>
          <w:color w:val="auto"/>
          <w:sz w:val="24"/>
          <w:szCs w:val="24"/>
        </w:rPr>
      </w:pPr>
      <w:r w:rsidRPr="00BF78E5">
        <w:rPr>
          <w:b/>
          <w:bCs/>
          <w:color w:val="auto"/>
          <w:sz w:val="24"/>
          <w:szCs w:val="24"/>
        </w:rPr>
        <w:t>Implications for Cancer Research Laboratories</w:t>
      </w:r>
      <w:r w:rsidRPr="00BF78E5">
        <w:rPr>
          <w:b/>
          <w:bCs/>
          <w:color w:val="auto"/>
          <w:sz w:val="24"/>
          <w:szCs w:val="24"/>
        </w:rPr>
        <w:br/>
        <w:t xml:space="preserve">TCGA-DL addresses two persistent challenges in cancer genomics: the technical barrier to data access and the inefficiency of sequential downloads. By combining a </w:t>
      </w:r>
      <w:proofErr w:type="spellStart"/>
      <w:r w:rsidRPr="00BF78E5">
        <w:rPr>
          <w:b/>
          <w:bCs/>
          <w:color w:val="auto"/>
          <w:sz w:val="24"/>
          <w:szCs w:val="24"/>
        </w:rPr>
        <w:t>CustomTkinter</w:t>
      </w:r>
      <w:proofErr w:type="spellEnd"/>
      <w:r w:rsidRPr="00BF78E5">
        <w:rPr>
          <w:b/>
          <w:bCs/>
          <w:color w:val="auto"/>
          <w:sz w:val="24"/>
          <w:szCs w:val="24"/>
        </w:rPr>
        <w:t xml:space="preserve">-based graphical interface with a manifest-driven download engine, the tool enables both intuitive interaction and streamlined bulk data retrieval. Multi-threading will be fully implemented in the next version to further reduce download times </w:t>
      </w:r>
      <w:r w:rsidRPr="00BF78E5">
        <w:rPr>
          <w:b/>
          <w:bCs/>
          <w:color w:val="auto"/>
          <w:sz w:val="24"/>
          <w:szCs w:val="24"/>
        </w:rPr>
        <w:lastRenderedPageBreak/>
        <w:t>on modern hardware. Importantly, each key feature of TCGA-DL is designed to align with the FAIR principles: the standardized use of GDC manifest files and preserved filenames make data Findable; distribution as a standalone Windows executable with a graphical interface ensures Accessible use for non-technical researchers; strict preservation of original structure and MD5 validation guarantees data Integrity and Reusability both within and beyond the original workflow. This deliberate mapping to the FAIR checklist reaffirms that interface and workflow choices in TCGA-DL are not just user-friendly, but actively support transparent, reproducible research in line with community standards.</w:t>
      </w:r>
    </w:p>
    <w:p w14:paraId="17F859C6" w14:textId="77777777" w:rsidR="00BF78E5" w:rsidRPr="00BF78E5" w:rsidRDefault="00BF78E5" w:rsidP="00BF78E5">
      <w:pPr>
        <w:bidi w:val="0"/>
        <w:jc w:val="both"/>
        <w:rPr>
          <w:b/>
          <w:bCs/>
          <w:color w:val="auto"/>
          <w:sz w:val="24"/>
          <w:szCs w:val="24"/>
        </w:rPr>
      </w:pPr>
      <w:r w:rsidRPr="00BF78E5">
        <w:rPr>
          <w:b/>
          <w:bCs/>
          <w:color w:val="auto"/>
          <w:sz w:val="24"/>
          <w:szCs w:val="24"/>
        </w:rPr>
        <w:t xml:space="preserve">TCGA-DL enables researchers without programming expertise to rapidly and reliably retrieve large-scale TCGA datasets. In the BRCA use case, TCGA-DL reduced download time by up to 4.8 times compared to GDC CLI and </w:t>
      </w:r>
      <w:proofErr w:type="spellStart"/>
      <w:r w:rsidRPr="00BF78E5">
        <w:rPr>
          <w:b/>
          <w:bCs/>
          <w:color w:val="auto"/>
          <w:sz w:val="24"/>
          <w:szCs w:val="24"/>
        </w:rPr>
        <w:t>TCGAbiolinks</w:t>
      </w:r>
      <w:proofErr w:type="spellEnd"/>
      <w:r w:rsidRPr="00BF78E5">
        <w:rPr>
          <w:b/>
          <w:bCs/>
          <w:color w:val="auto"/>
          <w:sz w:val="24"/>
          <w:szCs w:val="24"/>
        </w:rPr>
        <w:t xml:space="preserve"> (both run on default settings) when downloading 90 BRCA RNA-seq files (totaling 12 GB) via a standard institutional network connection. This performance was achieved without requiring command-line interaction or dependency management.</w:t>
      </w:r>
      <w:r w:rsidRPr="00BF78E5">
        <w:rPr>
          <w:b/>
          <w:bCs/>
          <w:color w:val="auto"/>
          <w:sz w:val="24"/>
          <w:szCs w:val="24"/>
        </w:rPr>
        <w:br/>
        <w:t xml:space="preserve">This approach differs significantly from existing solutions. The GDC Data Transfer Tool (v1.6.0; National Cancer Institute, </w:t>
      </w:r>
      <w:proofErr w:type="gramStart"/>
      <w:r w:rsidRPr="00BF78E5">
        <w:rPr>
          <w:b/>
          <w:bCs/>
          <w:color w:val="auto"/>
          <w:sz w:val="24"/>
          <w:szCs w:val="24"/>
        </w:rPr>
        <w:t>2024)[</w:t>
      </w:r>
      <w:proofErr w:type="gramEnd"/>
      <w:r w:rsidRPr="00BF78E5">
        <w:rPr>
          <w:b/>
          <w:bCs/>
          <w:color w:val="auto"/>
          <w:sz w:val="24"/>
          <w:szCs w:val="24"/>
        </w:rPr>
        <w:t xml:space="preserve">1], although robust and official, lacks a graphical interface, limiting accessibility for non-technical users. </w:t>
      </w:r>
      <w:proofErr w:type="spellStart"/>
      <w:r w:rsidRPr="00BF78E5">
        <w:rPr>
          <w:b/>
          <w:bCs/>
          <w:color w:val="auto"/>
          <w:sz w:val="24"/>
          <w:szCs w:val="24"/>
        </w:rPr>
        <w:t>TCGAbiolinks</w:t>
      </w:r>
      <w:proofErr w:type="spellEnd"/>
      <w:r w:rsidRPr="00BF78E5">
        <w:rPr>
          <w:b/>
          <w:bCs/>
          <w:color w:val="auto"/>
          <w:sz w:val="24"/>
          <w:szCs w:val="24"/>
        </w:rPr>
        <w:t xml:space="preserve"> (v2.28.3; </w:t>
      </w:r>
      <w:proofErr w:type="spellStart"/>
      <w:r w:rsidRPr="00BF78E5">
        <w:rPr>
          <w:b/>
          <w:bCs/>
          <w:color w:val="auto"/>
          <w:sz w:val="24"/>
          <w:szCs w:val="24"/>
        </w:rPr>
        <w:t>Colaprico</w:t>
      </w:r>
      <w:proofErr w:type="spellEnd"/>
      <w:r w:rsidRPr="00BF78E5">
        <w:rPr>
          <w:b/>
          <w:bCs/>
          <w:color w:val="auto"/>
          <w:sz w:val="24"/>
          <w:szCs w:val="24"/>
        </w:rPr>
        <w:t xml:space="preserve"> et al., </w:t>
      </w:r>
      <w:proofErr w:type="gramStart"/>
      <w:r w:rsidRPr="00BF78E5">
        <w:rPr>
          <w:b/>
          <w:bCs/>
          <w:color w:val="auto"/>
          <w:sz w:val="24"/>
          <w:szCs w:val="24"/>
        </w:rPr>
        <w:t>2016)[</w:t>
      </w:r>
      <w:proofErr w:type="gramEnd"/>
      <w:r w:rsidRPr="00BF78E5">
        <w:rPr>
          <w:b/>
          <w:bCs/>
          <w:color w:val="auto"/>
          <w:sz w:val="24"/>
          <w:szCs w:val="24"/>
        </w:rPr>
        <w:t xml:space="preserve">2] provides extensive analytical features but requires R proficiency and typically downloads files sequentially unless explicitly configured for parallelization, which can be unstable for large cohorts. Web platforms such as </w:t>
      </w:r>
      <w:proofErr w:type="spellStart"/>
      <w:r w:rsidRPr="00BF78E5">
        <w:rPr>
          <w:b/>
          <w:bCs/>
          <w:color w:val="auto"/>
          <w:sz w:val="24"/>
          <w:szCs w:val="24"/>
        </w:rPr>
        <w:t>cBioPortal</w:t>
      </w:r>
      <w:proofErr w:type="spellEnd"/>
      <w:r w:rsidRPr="00BF78E5">
        <w:rPr>
          <w:b/>
          <w:bCs/>
          <w:color w:val="auto"/>
          <w:sz w:val="24"/>
          <w:szCs w:val="24"/>
        </w:rPr>
        <w:t xml:space="preserve"> (version as of 2024; Cerami et al., </w:t>
      </w:r>
      <w:proofErr w:type="gramStart"/>
      <w:r w:rsidRPr="00BF78E5">
        <w:rPr>
          <w:b/>
          <w:bCs/>
          <w:color w:val="auto"/>
          <w:sz w:val="24"/>
          <w:szCs w:val="24"/>
        </w:rPr>
        <w:t>2012)[</w:t>
      </w:r>
      <w:proofErr w:type="gramEnd"/>
      <w:r w:rsidRPr="00BF78E5">
        <w:rPr>
          <w:b/>
          <w:bCs/>
          <w:color w:val="auto"/>
          <w:sz w:val="24"/>
          <w:szCs w:val="24"/>
        </w:rPr>
        <w:t>3] and UCSC Xena (Goldman et al., 2020)[4] excel at interactive exploration but do not support bulk export of raw or processed data in GDC-native formats, restricting their utility for custom downstream analyses. In summary, existing command-line tools lack graphical user interfaces and ease of use, while web portals do not offer raw bulk export in native formats. TCGA-DL bridges these gaps by providing a zero-code, high-speed gateway that preserves workflow compatibility.</w:t>
      </w:r>
      <w:r w:rsidRPr="00BF78E5">
        <w:rPr>
          <w:b/>
          <w:bCs/>
          <w:color w:val="auto"/>
          <w:sz w:val="24"/>
          <w:szCs w:val="24"/>
        </w:rPr>
        <w:br/>
        <w:t>The reliance on GDC manifest files is a deliberate design choice that ensures interoperability with the official data ecosystem. Users can generate manifests via the GUI or import externally created ones (e.g., from the GDC portal), enabling flexible hybrid workflows. This adherence to standardized data formats simplifies workflows and aligns with FAIR data principles by promoting reproducibility and transparent data sharing within the genomics community. For example, in a recent collaboration, a manifest file selecting 120 LUAD samples with clinical annotations was shared for a joint reanalysis project. The collaborator, based at a different institution, imported this manifest directly into TCGA-DL, replicated the dataset, and began analysis using the identical file structure. This example demonstrates how standardized manifest sharing streamlines multi-site projects and supports reusable, transparent science. Furthermore, automatic directory structuring and MD5 validation reduce common post-download errors, facilitating the transition from data retrieval to analysis.</w:t>
      </w:r>
      <w:r w:rsidRPr="00BF78E5">
        <w:rPr>
          <w:b/>
          <w:bCs/>
          <w:color w:val="auto"/>
          <w:sz w:val="24"/>
          <w:szCs w:val="24"/>
        </w:rPr>
        <w:br/>
        <w:t xml:space="preserve">TCGA-DL has limitations. It currently supports only open-access TCGA data; integration with controlled-access datasets requiring NIH authentication and </w:t>
      </w:r>
      <w:proofErr w:type="spellStart"/>
      <w:r w:rsidRPr="00BF78E5">
        <w:rPr>
          <w:b/>
          <w:bCs/>
          <w:color w:val="auto"/>
          <w:sz w:val="24"/>
          <w:szCs w:val="24"/>
        </w:rPr>
        <w:t>dbGaP</w:t>
      </w:r>
      <w:proofErr w:type="spellEnd"/>
      <w:r w:rsidRPr="00BF78E5">
        <w:rPr>
          <w:b/>
          <w:bCs/>
          <w:color w:val="auto"/>
          <w:sz w:val="24"/>
          <w:szCs w:val="24"/>
        </w:rPr>
        <w:t xml:space="preserve"> authorization is planned for a future release. Community collaboration is encouraged to implement OAuth or </w:t>
      </w:r>
      <w:proofErr w:type="spellStart"/>
      <w:r w:rsidRPr="00BF78E5">
        <w:rPr>
          <w:b/>
          <w:bCs/>
          <w:color w:val="auto"/>
          <w:sz w:val="24"/>
          <w:szCs w:val="24"/>
        </w:rPr>
        <w:t>dbGaP</w:t>
      </w:r>
      <w:proofErr w:type="spellEnd"/>
      <w:r w:rsidRPr="00BF78E5">
        <w:rPr>
          <w:b/>
          <w:bCs/>
          <w:color w:val="auto"/>
          <w:sz w:val="24"/>
          <w:szCs w:val="24"/>
        </w:rPr>
        <w:t xml:space="preserve"> authentication modules. Contributors with expertise in secure data access protocols are invited to accelerate support for protected data, transforming this limitation into an opportunity for partnership and advancement. </w:t>
      </w:r>
      <w:r w:rsidRPr="00BF78E5">
        <w:rPr>
          <w:b/>
          <w:bCs/>
          <w:color w:val="auto"/>
          <w:sz w:val="24"/>
          <w:szCs w:val="24"/>
        </w:rPr>
        <w:lastRenderedPageBreak/>
        <w:t>Additionally, concurrent downloading can increase speed but may saturate bandwidth on shared networks; users can manage this trade-off by configuring the thread limit. Finally, the tool focuses exclusively on data retrieval rather than analysis; this narrow scope enhances maintainability and usability, consistent with the Unix philosophy of “do one thing well.”</w:t>
      </w:r>
    </w:p>
    <w:p w14:paraId="2D98CD0F" w14:textId="77777777" w:rsidR="00BF78E5" w:rsidRPr="00BF78E5" w:rsidRDefault="00BF78E5" w:rsidP="00BF78E5">
      <w:pPr>
        <w:bidi w:val="0"/>
        <w:jc w:val="both"/>
        <w:rPr>
          <w:b/>
          <w:bCs/>
          <w:color w:val="auto"/>
          <w:sz w:val="24"/>
          <w:szCs w:val="24"/>
        </w:rPr>
      </w:pPr>
    </w:p>
    <w:p w14:paraId="59FF80E7" w14:textId="77777777" w:rsidR="00BF78E5" w:rsidRPr="00BF78E5" w:rsidRDefault="00BF78E5" w:rsidP="00BF78E5">
      <w:pPr>
        <w:bidi w:val="0"/>
        <w:jc w:val="both"/>
        <w:rPr>
          <w:b/>
          <w:bCs/>
          <w:color w:val="auto"/>
          <w:sz w:val="24"/>
          <w:szCs w:val="24"/>
        </w:rPr>
      </w:pPr>
      <w:r w:rsidRPr="00BF78E5">
        <w:rPr>
          <w:b/>
          <w:bCs/>
          <w:color w:val="auto"/>
          <w:sz w:val="24"/>
          <w:szCs w:val="24"/>
        </w:rPr>
        <w:t>The following next steps are proposed to address current limitations:</w:t>
      </w:r>
    </w:p>
    <w:p w14:paraId="3A01108F" w14:textId="77777777" w:rsidR="00BF78E5" w:rsidRPr="00BF78E5" w:rsidRDefault="00BF78E5" w:rsidP="00BF78E5">
      <w:pPr>
        <w:bidi w:val="0"/>
        <w:jc w:val="both"/>
        <w:rPr>
          <w:b/>
          <w:bCs/>
          <w:color w:val="auto"/>
          <w:sz w:val="24"/>
          <w:szCs w:val="24"/>
        </w:rPr>
      </w:pPr>
    </w:p>
    <w:p w14:paraId="55E51457" w14:textId="77777777" w:rsidR="00BF78E5" w:rsidRPr="00BF78E5" w:rsidRDefault="00BF78E5" w:rsidP="00BF78E5">
      <w:pPr>
        <w:bidi w:val="0"/>
        <w:jc w:val="both"/>
        <w:rPr>
          <w:b/>
          <w:bCs/>
          <w:color w:val="auto"/>
          <w:sz w:val="24"/>
          <w:szCs w:val="24"/>
        </w:rPr>
      </w:pPr>
      <w:r w:rsidRPr="00BF78E5">
        <w:rPr>
          <w:b/>
          <w:bCs/>
          <w:color w:val="auto"/>
          <w:sz w:val="24"/>
          <w:szCs w:val="24"/>
        </w:rPr>
        <w:t xml:space="preserve">- Integrate controlled-access TCGA data support (implement NIH </w:t>
      </w:r>
      <w:proofErr w:type="spellStart"/>
      <w:r w:rsidRPr="00BF78E5">
        <w:rPr>
          <w:b/>
          <w:bCs/>
          <w:color w:val="auto"/>
          <w:sz w:val="24"/>
          <w:szCs w:val="24"/>
        </w:rPr>
        <w:t>dbGaP</w:t>
      </w:r>
      <w:proofErr w:type="spellEnd"/>
      <w:r w:rsidRPr="00BF78E5">
        <w:rPr>
          <w:b/>
          <w:bCs/>
          <w:color w:val="auto"/>
          <w:sz w:val="24"/>
          <w:szCs w:val="24"/>
        </w:rPr>
        <w:t xml:space="preserve"> authentication and authorization workflows)</w:t>
      </w:r>
    </w:p>
    <w:p w14:paraId="504A3801" w14:textId="77777777" w:rsidR="00BF78E5" w:rsidRPr="00BF78E5" w:rsidRDefault="00BF78E5" w:rsidP="00BF78E5">
      <w:pPr>
        <w:bidi w:val="0"/>
        <w:jc w:val="both"/>
        <w:rPr>
          <w:b/>
          <w:bCs/>
          <w:color w:val="auto"/>
          <w:sz w:val="24"/>
          <w:szCs w:val="24"/>
        </w:rPr>
      </w:pPr>
      <w:r w:rsidRPr="00BF78E5">
        <w:rPr>
          <w:b/>
          <w:bCs/>
          <w:color w:val="auto"/>
          <w:sz w:val="24"/>
          <w:szCs w:val="24"/>
        </w:rPr>
        <w:t>- Develop and test OAuth-based login modules for secure user authentication</w:t>
      </w:r>
    </w:p>
    <w:p w14:paraId="4A535581" w14:textId="77777777" w:rsidR="00BF78E5" w:rsidRPr="00BF78E5" w:rsidRDefault="00BF78E5" w:rsidP="00BF78E5">
      <w:pPr>
        <w:bidi w:val="0"/>
        <w:jc w:val="both"/>
        <w:rPr>
          <w:b/>
          <w:bCs/>
          <w:color w:val="auto"/>
          <w:sz w:val="24"/>
          <w:szCs w:val="24"/>
        </w:rPr>
      </w:pPr>
      <w:r w:rsidRPr="00BF78E5">
        <w:rPr>
          <w:b/>
          <w:bCs/>
          <w:color w:val="auto"/>
          <w:sz w:val="24"/>
          <w:szCs w:val="24"/>
        </w:rPr>
        <w:t xml:space="preserve">- Enable user </w:t>
      </w:r>
      <w:proofErr w:type="spellStart"/>
      <w:r w:rsidRPr="00BF78E5">
        <w:rPr>
          <w:b/>
          <w:bCs/>
          <w:color w:val="auto"/>
          <w:sz w:val="24"/>
          <w:szCs w:val="24"/>
        </w:rPr>
        <w:t>configuratio</w:t>
      </w:r>
      <w:proofErr w:type="spellEnd"/>
      <w:r w:rsidRPr="00BF78E5">
        <w:rPr>
          <w:b/>
          <w:bCs/>
          <w:color w:val="auto"/>
          <w:sz w:val="24"/>
          <w:szCs w:val="24"/>
        </w:rPr>
        <w:t xml:space="preserve">- Enable user configuration of thread limits to optimize bandwidth </w:t>
      </w:r>
      <w:proofErr w:type="spellStart"/>
      <w:r w:rsidRPr="00BF78E5">
        <w:rPr>
          <w:b/>
          <w:bCs/>
          <w:color w:val="auto"/>
          <w:sz w:val="24"/>
          <w:szCs w:val="24"/>
        </w:rPr>
        <w:t>managemento</w:t>
      </w:r>
      <w:proofErr w:type="spellEnd"/>
      <w:r w:rsidRPr="00BF78E5">
        <w:rPr>
          <w:b/>
          <w:bCs/>
          <w:color w:val="auto"/>
          <w:sz w:val="24"/>
          <w:szCs w:val="24"/>
        </w:rPr>
        <w:t xml:space="preserve"> additional GDC-hosted projects and data types</w:t>
      </w:r>
    </w:p>
    <w:p w14:paraId="7A041937" w14:textId="77777777" w:rsidR="00BF78E5" w:rsidRPr="00BF78E5" w:rsidRDefault="00BF78E5" w:rsidP="00BF78E5">
      <w:pPr>
        <w:bidi w:val="0"/>
        <w:jc w:val="both"/>
        <w:rPr>
          <w:b/>
          <w:bCs/>
          <w:color w:val="auto"/>
          <w:sz w:val="24"/>
          <w:szCs w:val="24"/>
        </w:rPr>
      </w:pPr>
      <w:r w:rsidRPr="00BF78E5">
        <w:rPr>
          <w:b/>
          <w:bCs/>
          <w:color w:val="auto"/>
          <w:sz w:val="24"/>
          <w:szCs w:val="24"/>
        </w:rPr>
        <w:t>- Invite community contributions to all aforementioned areas, particularly secure access protocols and testing</w:t>
      </w:r>
    </w:p>
    <w:p w14:paraId="0A484DA4" w14:textId="77777777" w:rsidR="00BF78E5" w:rsidRPr="00BF78E5" w:rsidRDefault="00BF78E5" w:rsidP="00BF78E5">
      <w:pPr>
        <w:bidi w:val="0"/>
        <w:jc w:val="both"/>
        <w:rPr>
          <w:b/>
          <w:bCs/>
          <w:color w:val="auto"/>
          <w:sz w:val="24"/>
          <w:szCs w:val="24"/>
        </w:rPr>
      </w:pPr>
    </w:p>
    <w:p w14:paraId="12D74D65" w14:textId="2D8F9678" w:rsidR="00BF78E5" w:rsidRPr="00BF78E5" w:rsidRDefault="00BF78E5" w:rsidP="005D7180">
      <w:pPr>
        <w:bidi w:val="0"/>
        <w:rPr>
          <w:b/>
          <w:bCs/>
          <w:color w:val="auto"/>
          <w:sz w:val="24"/>
          <w:szCs w:val="24"/>
        </w:rPr>
      </w:pPr>
      <w:r w:rsidRPr="00BF78E5">
        <w:rPr>
          <w:b/>
          <w:bCs/>
          <w:color w:val="auto"/>
          <w:sz w:val="24"/>
          <w:szCs w:val="24"/>
        </w:rPr>
        <w:t>Clear, achievable milestones provide a roadmap for prospective contributors and help ensure that future releases address evolving user needs.</w:t>
      </w:r>
      <w:r w:rsidRPr="00BF78E5">
        <w:rPr>
          <w:b/>
          <w:bCs/>
          <w:color w:val="auto"/>
          <w:sz w:val="24"/>
          <w:szCs w:val="24"/>
        </w:rPr>
        <w:br/>
        <w:t>Future development plans include extending TCGA-DL to support additional GDC-hosted projects (e.g., TARGET, CPTAC) and integrating lightweight visualization modules (e.g., sample metadata summaries). The immediate milestone is full TARGET project support by 31 December 2024, followed by CPTAC integration by 31 March 2025. Preliminary visualization functions will be introduced incrementally, with sample metadata summaries available by 31 December 2024. These specific milestones will guide development and facilitate progress assessment. Community contributions are encouraged</w:t>
      </w:r>
      <w:r w:rsidR="005D7180">
        <w:rPr>
          <w:rFonts w:hint="cs"/>
          <w:b/>
          <w:bCs/>
          <w:color w:val="auto"/>
          <w:sz w:val="24"/>
          <w:szCs w:val="24"/>
          <w:rtl/>
        </w:rPr>
        <w:t>‌‌‌‌</w:t>
      </w:r>
      <w:r w:rsidRPr="00BF78E5">
        <w:rPr>
          <w:b/>
          <w:bCs/>
          <w:color w:val="auto"/>
          <w:sz w:val="24"/>
          <w:szCs w:val="24"/>
        </w:rPr>
        <w:t>via</w:t>
      </w:r>
      <w:r w:rsidR="005D7180">
        <w:rPr>
          <w:b/>
          <w:bCs/>
          <w:color w:val="auto"/>
          <w:sz w:val="24"/>
          <w:szCs w:val="24"/>
        </w:rPr>
        <w:t xml:space="preserve"> </w:t>
      </w:r>
      <w:r w:rsidRPr="00BF78E5">
        <w:rPr>
          <w:b/>
          <w:bCs/>
          <w:color w:val="auto"/>
          <w:sz w:val="24"/>
          <w:szCs w:val="24"/>
        </w:rPr>
        <w:t>the</w:t>
      </w:r>
      <w:r w:rsidR="005D7180">
        <w:rPr>
          <w:rFonts w:hint="cs"/>
          <w:b/>
          <w:bCs/>
          <w:color w:val="auto"/>
          <w:sz w:val="24"/>
          <w:szCs w:val="24"/>
          <w:rtl/>
        </w:rPr>
        <w:t xml:space="preserve"> </w:t>
      </w:r>
      <w:r w:rsidRPr="00BF78E5">
        <w:rPr>
          <w:b/>
          <w:bCs/>
          <w:color w:val="auto"/>
          <w:sz w:val="24"/>
          <w:szCs w:val="24"/>
        </w:rPr>
        <w:t>open-source repository.</w:t>
      </w:r>
      <w:r w:rsidRPr="00BF78E5">
        <w:rPr>
          <w:b/>
          <w:bCs/>
          <w:color w:val="auto"/>
          <w:sz w:val="24"/>
          <w:szCs w:val="24"/>
        </w:rPr>
        <w:br/>
        <w:t>To contextualize TCGA-DL within the existing ecosystem of TCGA data access tools, its core features are compared with widely used alternatives in Table 1. Only TCGA-DL satisfies all three critical criteria: a native graphical user interface, manifest-based high-speed downloading, and zero-code accessibility. This comparison highlights key differentiators. TCGA-DL uniquely combines these features, addressing limitations of both command-line and web-based solutions.</w:t>
      </w:r>
    </w:p>
    <w:p w14:paraId="63257809" w14:textId="77777777" w:rsidR="00BC3123" w:rsidRPr="00BF78E5" w:rsidRDefault="00BC3123" w:rsidP="005D7180">
      <w:pPr>
        <w:bidi w:val="0"/>
        <w:jc w:val="both"/>
        <w:rPr>
          <w:color w:val="auto"/>
          <w:sz w:val="24"/>
          <w:szCs w:val="24"/>
          <w:rtl/>
        </w:rPr>
      </w:pPr>
    </w:p>
    <w:p w14:paraId="2F7AD321" w14:textId="153FBC19" w:rsidR="00BC3123" w:rsidRPr="00BC3123" w:rsidRDefault="00BC3123" w:rsidP="00BC3123">
      <w:pPr>
        <w:bidi w:val="0"/>
        <w:jc w:val="both"/>
        <w:rPr>
          <w:sz w:val="24"/>
          <w:szCs w:val="24"/>
        </w:rPr>
      </w:pPr>
      <w:r w:rsidRPr="00BC3123">
        <w:rPr>
          <w:sz w:val="24"/>
          <w:szCs w:val="24"/>
        </w:rPr>
        <w:t xml:space="preserve">Table </w:t>
      </w:r>
      <w:r w:rsidR="00C11340" w:rsidRPr="00BF78E5">
        <w:rPr>
          <w:color w:val="auto"/>
          <w:sz w:val="24"/>
          <w:szCs w:val="24"/>
        </w:rPr>
        <w:t>2</w:t>
      </w:r>
      <w:r w:rsidRPr="00BC3123">
        <w:rPr>
          <w:sz w:val="24"/>
          <w:szCs w:val="24"/>
        </w:rPr>
        <w:t xml:space="preserve">. Feature comparison of </w:t>
      </w:r>
      <w:r w:rsidR="00E70F50" w:rsidRPr="00BF78E5">
        <w:rPr>
          <w:b/>
          <w:bCs/>
          <w:color w:val="auto"/>
          <w:sz w:val="24"/>
          <w:szCs w:val="24"/>
        </w:rPr>
        <w:t>TCGA-DL</w:t>
      </w:r>
      <w:r w:rsidRPr="00BF78E5">
        <w:rPr>
          <w:color w:val="auto"/>
          <w:sz w:val="24"/>
          <w:szCs w:val="24"/>
        </w:rPr>
        <w:t xml:space="preserve"> </w:t>
      </w:r>
      <w:r w:rsidRPr="00BC3123">
        <w:rPr>
          <w:sz w:val="24"/>
          <w:szCs w:val="24"/>
        </w:rPr>
        <w:t>with existing TCGA data access tools</w:t>
      </w:r>
    </w:p>
    <w:tbl>
      <w:tblPr>
        <w:tblStyle w:val="TableGrid"/>
        <w:tblW w:w="9915" w:type="dxa"/>
        <w:tblLayout w:type="fixed"/>
        <w:tblLook w:val="04A0" w:firstRow="1" w:lastRow="0" w:firstColumn="1" w:lastColumn="0" w:noHBand="0" w:noVBand="1"/>
      </w:tblPr>
      <w:tblGrid>
        <w:gridCol w:w="2847"/>
        <w:gridCol w:w="1918"/>
        <w:gridCol w:w="794"/>
        <w:gridCol w:w="1724"/>
        <w:gridCol w:w="1316"/>
        <w:gridCol w:w="1316"/>
      </w:tblGrid>
      <w:tr w:rsidR="00BC3123" w:rsidRPr="00BC3123" w14:paraId="77E91835" w14:textId="77777777" w:rsidTr="008D09E9">
        <w:trPr>
          <w:trHeight w:val="1105"/>
        </w:trPr>
        <w:tc>
          <w:tcPr>
            <w:tcW w:w="2847" w:type="dxa"/>
            <w:vAlign w:val="center"/>
          </w:tcPr>
          <w:p w14:paraId="5BE1DF05" w14:textId="77777777" w:rsidR="00BC3123" w:rsidRPr="00F16E1D" w:rsidRDefault="00BC3123" w:rsidP="00BC3123">
            <w:pPr>
              <w:bidi w:val="0"/>
              <w:jc w:val="center"/>
              <w:rPr>
                <w:b/>
                <w:bCs/>
                <w:sz w:val="24"/>
                <w:szCs w:val="24"/>
                <w:rtl/>
              </w:rPr>
            </w:pPr>
            <w:r w:rsidRPr="00F16E1D">
              <w:rPr>
                <w:b/>
                <w:bCs/>
                <w:sz w:val="24"/>
                <w:szCs w:val="24"/>
              </w:rPr>
              <w:t>Feature</w:t>
            </w:r>
          </w:p>
        </w:tc>
        <w:tc>
          <w:tcPr>
            <w:tcW w:w="1918" w:type="dxa"/>
            <w:vAlign w:val="center"/>
          </w:tcPr>
          <w:p w14:paraId="0335B217" w14:textId="7818CFD1" w:rsidR="00BC3123" w:rsidRPr="00BF78E5" w:rsidRDefault="00E70F50" w:rsidP="00BC3123">
            <w:pPr>
              <w:bidi w:val="0"/>
              <w:jc w:val="center"/>
              <w:rPr>
                <w:b/>
                <w:bCs/>
                <w:color w:val="auto"/>
                <w:sz w:val="24"/>
                <w:szCs w:val="24"/>
                <w:rtl/>
              </w:rPr>
            </w:pPr>
            <w:r w:rsidRPr="00BF78E5">
              <w:rPr>
                <w:b/>
                <w:bCs/>
                <w:color w:val="auto"/>
                <w:sz w:val="24"/>
                <w:szCs w:val="24"/>
              </w:rPr>
              <w:t>TCGA-DL</w:t>
            </w:r>
          </w:p>
        </w:tc>
        <w:tc>
          <w:tcPr>
            <w:tcW w:w="794" w:type="dxa"/>
            <w:vAlign w:val="center"/>
          </w:tcPr>
          <w:p w14:paraId="3DFDC5B7" w14:textId="77777777" w:rsidR="00BC3123" w:rsidRPr="00F16E1D" w:rsidRDefault="00BC3123" w:rsidP="00BC3123">
            <w:pPr>
              <w:bidi w:val="0"/>
              <w:jc w:val="center"/>
              <w:rPr>
                <w:b/>
                <w:bCs/>
                <w:sz w:val="24"/>
                <w:szCs w:val="24"/>
                <w:rtl/>
              </w:rPr>
            </w:pPr>
            <w:r w:rsidRPr="00F16E1D">
              <w:rPr>
                <w:b/>
                <w:bCs/>
                <w:sz w:val="24"/>
                <w:szCs w:val="24"/>
              </w:rPr>
              <w:t>GDC Data Transfer Tool</w:t>
            </w:r>
          </w:p>
        </w:tc>
        <w:tc>
          <w:tcPr>
            <w:tcW w:w="1724" w:type="dxa"/>
            <w:vAlign w:val="center"/>
          </w:tcPr>
          <w:p w14:paraId="4B96E183" w14:textId="77777777" w:rsidR="00BC3123" w:rsidRPr="00F16E1D" w:rsidRDefault="00BC3123" w:rsidP="00BC3123">
            <w:pPr>
              <w:bidi w:val="0"/>
              <w:jc w:val="center"/>
              <w:rPr>
                <w:b/>
                <w:bCs/>
                <w:sz w:val="24"/>
                <w:szCs w:val="24"/>
                <w:rtl/>
              </w:rPr>
            </w:pPr>
            <w:proofErr w:type="spellStart"/>
            <w:r w:rsidRPr="00F16E1D">
              <w:rPr>
                <w:b/>
                <w:bCs/>
                <w:sz w:val="24"/>
                <w:szCs w:val="24"/>
              </w:rPr>
              <w:t>TCGAbiolinks</w:t>
            </w:r>
            <w:proofErr w:type="spellEnd"/>
          </w:p>
        </w:tc>
        <w:tc>
          <w:tcPr>
            <w:tcW w:w="1316" w:type="dxa"/>
            <w:vAlign w:val="center"/>
          </w:tcPr>
          <w:p w14:paraId="31867D56" w14:textId="77777777" w:rsidR="00BC3123" w:rsidRPr="00F16E1D" w:rsidRDefault="00BC3123" w:rsidP="00BC3123">
            <w:pPr>
              <w:bidi w:val="0"/>
              <w:jc w:val="center"/>
              <w:rPr>
                <w:b/>
                <w:bCs/>
                <w:sz w:val="24"/>
                <w:szCs w:val="24"/>
                <w:rtl/>
              </w:rPr>
            </w:pPr>
            <w:proofErr w:type="spellStart"/>
            <w:r w:rsidRPr="00F16E1D">
              <w:rPr>
                <w:b/>
                <w:bCs/>
                <w:sz w:val="24"/>
                <w:szCs w:val="24"/>
              </w:rPr>
              <w:t>cBioPortal</w:t>
            </w:r>
            <w:proofErr w:type="spellEnd"/>
          </w:p>
          <w:p w14:paraId="76563BDF" w14:textId="2C4A7286" w:rsidR="00F16E1D" w:rsidRPr="00F16E1D" w:rsidRDefault="00F16E1D" w:rsidP="00F16E1D">
            <w:pPr>
              <w:bidi w:val="0"/>
              <w:jc w:val="center"/>
              <w:rPr>
                <w:rFonts w:cs="Times New Roman"/>
                <w:b/>
                <w:bCs/>
                <w:sz w:val="24"/>
                <w:szCs w:val="24"/>
                <w:rtl/>
              </w:rPr>
            </w:pPr>
          </w:p>
        </w:tc>
        <w:tc>
          <w:tcPr>
            <w:tcW w:w="1316" w:type="dxa"/>
            <w:vAlign w:val="center"/>
          </w:tcPr>
          <w:p w14:paraId="620CA1EA" w14:textId="77777777" w:rsidR="00BC3123" w:rsidRPr="00F16E1D" w:rsidRDefault="00BC3123" w:rsidP="00BC3123">
            <w:pPr>
              <w:bidi w:val="0"/>
              <w:jc w:val="center"/>
              <w:rPr>
                <w:b/>
                <w:bCs/>
                <w:sz w:val="24"/>
                <w:szCs w:val="24"/>
                <w:rtl/>
              </w:rPr>
            </w:pPr>
            <w:r w:rsidRPr="00F16E1D">
              <w:rPr>
                <w:b/>
                <w:bCs/>
                <w:sz w:val="24"/>
                <w:szCs w:val="24"/>
              </w:rPr>
              <w:t>UCSC Xena</w:t>
            </w:r>
          </w:p>
          <w:p w14:paraId="6543DFAF" w14:textId="3F184018" w:rsidR="00F16E1D" w:rsidRPr="00BC3123" w:rsidRDefault="00F16E1D" w:rsidP="00F16E1D">
            <w:pPr>
              <w:bidi w:val="0"/>
              <w:jc w:val="center"/>
              <w:rPr>
                <w:b/>
                <w:bCs/>
                <w:sz w:val="24"/>
                <w:szCs w:val="24"/>
              </w:rPr>
            </w:pPr>
          </w:p>
        </w:tc>
      </w:tr>
      <w:tr w:rsidR="00BC3123" w:rsidRPr="00BC3123" w14:paraId="673E7612" w14:textId="77777777" w:rsidTr="008D09E9">
        <w:trPr>
          <w:trHeight w:val="552"/>
        </w:trPr>
        <w:tc>
          <w:tcPr>
            <w:tcW w:w="2847" w:type="dxa"/>
            <w:vAlign w:val="center"/>
          </w:tcPr>
          <w:p w14:paraId="4452AF13" w14:textId="77777777" w:rsidR="00BC3123" w:rsidRPr="00BC3123" w:rsidRDefault="00BC3123" w:rsidP="00BC3123">
            <w:pPr>
              <w:bidi w:val="0"/>
              <w:jc w:val="center"/>
              <w:rPr>
                <w:sz w:val="24"/>
                <w:szCs w:val="24"/>
                <w:rtl/>
              </w:rPr>
            </w:pPr>
            <w:r w:rsidRPr="00BC3123">
              <w:rPr>
                <w:sz w:val="24"/>
                <w:szCs w:val="24"/>
              </w:rPr>
              <w:lastRenderedPageBreak/>
              <w:t>Graphical User Interface (GUI)</w:t>
            </w:r>
          </w:p>
        </w:tc>
        <w:tc>
          <w:tcPr>
            <w:tcW w:w="1918" w:type="dxa"/>
            <w:vAlign w:val="center"/>
          </w:tcPr>
          <w:p w14:paraId="331355A1"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07C8C048" w14:textId="77777777" w:rsidR="00BC3123" w:rsidRPr="00BC3123" w:rsidRDefault="00BC3123" w:rsidP="00BC3123">
            <w:pPr>
              <w:bidi w:val="0"/>
              <w:jc w:val="center"/>
              <w:rPr>
                <w:sz w:val="24"/>
                <w:szCs w:val="24"/>
                <w:rtl/>
              </w:rPr>
            </w:pPr>
            <w:r w:rsidRPr="00BC3123">
              <w:rPr>
                <w:sz w:val="24"/>
                <w:szCs w:val="24"/>
              </w:rPr>
              <w:t>No</w:t>
            </w:r>
          </w:p>
        </w:tc>
        <w:tc>
          <w:tcPr>
            <w:tcW w:w="1724" w:type="dxa"/>
            <w:vAlign w:val="center"/>
          </w:tcPr>
          <w:p w14:paraId="3B8545E0" w14:textId="77777777" w:rsidR="00BC3123" w:rsidRPr="00BC3123" w:rsidRDefault="00BC3123" w:rsidP="00BC3123">
            <w:pPr>
              <w:bidi w:val="0"/>
              <w:jc w:val="center"/>
              <w:rPr>
                <w:sz w:val="24"/>
                <w:szCs w:val="24"/>
                <w:rtl/>
              </w:rPr>
            </w:pPr>
            <w:r w:rsidRPr="00BC3123">
              <w:rPr>
                <w:sz w:val="24"/>
                <w:szCs w:val="24"/>
              </w:rPr>
              <w:t>No (R console)</w:t>
            </w:r>
          </w:p>
        </w:tc>
        <w:tc>
          <w:tcPr>
            <w:tcW w:w="1316" w:type="dxa"/>
            <w:vAlign w:val="center"/>
          </w:tcPr>
          <w:p w14:paraId="02D6734D" w14:textId="77777777" w:rsidR="00BC3123" w:rsidRPr="00BC3123" w:rsidRDefault="00BC3123" w:rsidP="00BC3123">
            <w:pPr>
              <w:bidi w:val="0"/>
              <w:jc w:val="center"/>
              <w:rPr>
                <w:sz w:val="24"/>
                <w:szCs w:val="24"/>
                <w:rtl/>
              </w:rPr>
            </w:pPr>
            <w:r w:rsidRPr="00BC3123">
              <w:rPr>
                <w:sz w:val="24"/>
                <w:szCs w:val="24"/>
              </w:rPr>
              <w:t>Web-based</w:t>
            </w:r>
          </w:p>
        </w:tc>
        <w:tc>
          <w:tcPr>
            <w:tcW w:w="1316" w:type="dxa"/>
            <w:vAlign w:val="center"/>
          </w:tcPr>
          <w:p w14:paraId="78120B0A" w14:textId="77777777" w:rsidR="00BC3123" w:rsidRPr="00BC3123" w:rsidRDefault="00BC3123" w:rsidP="00BC3123">
            <w:pPr>
              <w:bidi w:val="0"/>
              <w:jc w:val="center"/>
              <w:rPr>
                <w:sz w:val="24"/>
                <w:szCs w:val="24"/>
              </w:rPr>
            </w:pPr>
            <w:r w:rsidRPr="00BC3123">
              <w:rPr>
                <w:sz w:val="24"/>
                <w:szCs w:val="24"/>
              </w:rPr>
              <w:t>Web-based</w:t>
            </w:r>
          </w:p>
        </w:tc>
      </w:tr>
      <w:tr w:rsidR="00BC3123" w:rsidRPr="00BC3123" w14:paraId="164E16BC" w14:textId="77777777" w:rsidTr="008D09E9">
        <w:trPr>
          <w:trHeight w:val="275"/>
        </w:trPr>
        <w:tc>
          <w:tcPr>
            <w:tcW w:w="2847" w:type="dxa"/>
            <w:vAlign w:val="center"/>
          </w:tcPr>
          <w:p w14:paraId="62446F9F" w14:textId="77777777" w:rsidR="00BC3123" w:rsidRPr="00E934CE" w:rsidRDefault="00BC3123" w:rsidP="00BC3123">
            <w:pPr>
              <w:bidi w:val="0"/>
              <w:jc w:val="center"/>
              <w:rPr>
                <w:color w:val="auto"/>
                <w:sz w:val="24"/>
                <w:szCs w:val="24"/>
                <w:rtl/>
              </w:rPr>
            </w:pPr>
            <w:r w:rsidRPr="00E934CE">
              <w:rPr>
                <w:color w:val="auto"/>
                <w:sz w:val="24"/>
                <w:szCs w:val="24"/>
              </w:rPr>
              <w:t>Code-free operation</w:t>
            </w:r>
          </w:p>
        </w:tc>
        <w:tc>
          <w:tcPr>
            <w:tcW w:w="1918" w:type="dxa"/>
            <w:vAlign w:val="center"/>
          </w:tcPr>
          <w:p w14:paraId="767B13DB"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6AB5A461" w14:textId="77777777" w:rsidR="00BC3123" w:rsidRPr="00BC3123" w:rsidRDefault="00BC3123" w:rsidP="00BC3123">
            <w:pPr>
              <w:bidi w:val="0"/>
              <w:jc w:val="center"/>
              <w:rPr>
                <w:sz w:val="24"/>
                <w:szCs w:val="24"/>
                <w:rtl/>
              </w:rPr>
            </w:pPr>
            <w:r w:rsidRPr="00BC3123">
              <w:rPr>
                <w:sz w:val="24"/>
                <w:szCs w:val="24"/>
              </w:rPr>
              <w:t>No</w:t>
            </w:r>
          </w:p>
        </w:tc>
        <w:tc>
          <w:tcPr>
            <w:tcW w:w="1724" w:type="dxa"/>
            <w:vAlign w:val="center"/>
          </w:tcPr>
          <w:p w14:paraId="557005C3" w14:textId="77777777" w:rsidR="00BC3123" w:rsidRPr="00BC3123" w:rsidRDefault="00BC3123" w:rsidP="00BC3123">
            <w:pPr>
              <w:bidi w:val="0"/>
              <w:jc w:val="center"/>
              <w:rPr>
                <w:sz w:val="24"/>
                <w:szCs w:val="24"/>
                <w:rtl/>
              </w:rPr>
            </w:pPr>
            <w:r w:rsidRPr="00BC3123">
              <w:rPr>
                <w:sz w:val="24"/>
                <w:szCs w:val="24"/>
              </w:rPr>
              <w:t>No</w:t>
            </w:r>
          </w:p>
        </w:tc>
        <w:tc>
          <w:tcPr>
            <w:tcW w:w="1316" w:type="dxa"/>
            <w:vAlign w:val="center"/>
          </w:tcPr>
          <w:p w14:paraId="4599F297" w14:textId="77777777" w:rsidR="00BC3123" w:rsidRPr="00BC3123" w:rsidRDefault="00BC3123" w:rsidP="00BC3123">
            <w:pPr>
              <w:bidi w:val="0"/>
              <w:jc w:val="center"/>
              <w:rPr>
                <w:sz w:val="24"/>
                <w:szCs w:val="24"/>
                <w:rtl/>
              </w:rPr>
            </w:pPr>
            <w:r w:rsidRPr="00BC3123">
              <w:rPr>
                <w:sz w:val="24"/>
                <w:szCs w:val="24"/>
              </w:rPr>
              <w:t>Yes</w:t>
            </w:r>
          </w:p>
        </w:tc>
        <w:tc>
          <w:tcPr>
            <w:tcW w:w="1316" w:type="dxa"/>
            <w:vAlign w:val="center"/>
          </w:tcPr>
          <w:p w14:paraId="3DFC6226" w14:textId="77777777" w:rsidR="00BC3123" w:rsidRPr="00BC3123" w:rsidRDefault="00BC3123" w:rsidP="00BC3123">
            <w:pPr>
              <w:bidi w:val="0"/>
              <w:jc w:val="center"/>
              <w:rPr>
                <w:sz w:val="24"/>
                <w:szCs w:val="24"/>
              </w:rPr>
            </w:pPr>
            <w:r w:rsidRPr="00BC3123">
              <w:rPr>
                <w:sz w:val="24"/>
                <w:szCs w:val="24"/>
              </w:rPr>
              <w:t>Yes</w:t>
            </w:r>
          </w:p>
        </w:tc>
      </w:tr>
      <w:tr w:rsidR="00BC3123" w:rsidRPr="00BC3123" w14:paraId="3247C33F" w14:textId="77777777" w:rsidTr="008D09E9">
        <w:trPr>
          <w:trHeight w:val="552"/>
        </w:trPr>
        <w:tc>
          <w:tcPr>
            <w:tcW w:w="2847" w:type="dxa"/>
            <w:vAlign w:val="center"/>
          </w:tcPr>
          <w:p w14:paraId="4CCAF659" w14:textId="77777777" w:rsidR="00BC3123" w:rsidRPr="00BC3123" w:rsidRDefault="00BC3123" w:rsidP="00BC3123">
            <w:pPr>
              <w:bidi w:val="0"/>
              <w:jc w:val="center"/>
              <w:rPr>
                <w:sz w:val="24"/>
                <w:szCs w:val="24"/>
                <w:rtl/>
              </w:rPr>
            </w:pPr>
            <w:r w:rsidRPr="00BC3123">
              <w:rPr>
                <w:sz w:val="24"/>
                <w:szCs w:val="24"/>
              </w:rPr>
              <w:t>Manifest-based download support</w:t>
            </w:r>
          </w:p>
        </w:tc>
        <w:tc>
          <w:tcPr>
            <w:tcW w:w="1918" w:type="dxa"/>
            <w:vAlign w:val="center"/>
          </w:tcPr>
          <w:p w14:paraId="21599C2F"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05C9877A" w14:textId="77777777" w:rsidR="00BC3123" w:rsidRPr="00BC3123" w:rsidRDefault="00BC3123" w:rsidP="00BC3123">
            <w:pPr>
              <w:bidi w:val="0"/>
              <w:jc w:val="center"/>
              <w:rPr>
                <w:sz w:val="24"/>
                <w:szCs w:val="24"/>
                <w:rtl/>
              </w:rPr>
            </w:pPr>
            <w:r w:rsidRPr="00BC3123">
              <w:rPr>
                <w:sz w:val="24"/>
                <w:szCs w:val="24"/>
              </w:rPr>
              <w:t>Yes</w:t>
            </w:r>
          </w:p>
        </w:tc>
        <w:tc>
          <w:tcPr>
            <w:tcW w:w="1724" w:type="dxa"/>
            <w:vAlign w:val="center"/>
          </w:tcPr>
          <w:p w14:paraId="1F5F02FA" w14:textId="77777777" w:rsidR="00BC3123" w:rsidRPr="00BC3123" w:rsidRDefault="00BC3123" w:rsidP="00BC3123">
            <w:pPr>
              <w:bidi w:val="0"/>
              <w:jc w:val="center"/>
              <w:rPr>
                <w:sz w:val="24"/>
                <w:szCs w:val="24"/>
                <w:rtl/>
              </w:rPr>
            </w:pPr>
            <w:r w:rsidRPr="00BC3123">
              <w:rPr>
                <w:sz w:val="24"/>
                <w:szCs w:val="24"/>
              </w:rPr>
              <w:t>Yes (via GDC API)</w:t>
            </w:r>
          </w:p>
        </w:tc>
        <w:tc>
          <w:tcPr>
            <w:tcW w:w="1316" w:type="dxa"/>
            <w:vAlign w:val="center"/>
          </w:tcPr>
          <w:p w14:paraId="1B01F861" w14:textId="77777777" w:rsidR="00BC3123" w:rsidRPr="00BC3123" w:rsidRDefault="00BC3123" w:rsidP="00BC3123">
            <w:pPr>
              <w:bidi w:val="0"/>
              <w:jc w:val="center"/>
              <w:rPr>
                <w:sz w:val="24"/>
                <w:szCs w:val="24"/>
                <w:rtl/>
              </w:rPr>
            </w:pPr>
            <w:r w:rsidRPr="00BC3123">
              <w:rPr>
                <w:sz w:val="24"/>
                <w:szCs w:val="24"/>
              </w:rPr>
              <w:t>No</w:t>
            </w:r>
          </w:p>
        </w:tc>
        <w:tc>
          <w:tcPr>
            <w:tcW w:w="1316" w:type="dxa"/>
            <w:vAlign w:val="center"/>
          </w:tcPr>
          <w:p w14:paraId="35A2669F" w14:textId="77777777" w:rsidR="00BC3123" w:rsidRPr="00BC3123" w:rsidRDefault="00BC3123" w:rsidP="00BC3123">
            <w:pPr>
              <w:bidi w:val="0"/>
              <w:jc w:val="center"/>
              <w:rPr>
                <w:sz w:val="24"/>
                <w:szCs w:val="24"/>
              </w:rPr>
            </w:pPr>
            <w:r w:rsidRPr="00BC3123">
              <w:rPr>
                <w:sz w:val="24"/>
                <w:szCs w:val="24"/>
              </w:rPr>
              <w:t>No</w:t>
            </w:r>
          </w:p>
        </w:tc>
      </w:tr>
      <w:tr w:rsidR="00BC3123" w:rsidRPr="00BC3123" w14:paraId="7BF5FD31" w14:textId="77777777" w:rsidTr="008D09E9">
        <w:trPr>
          <w:trHeight w:val="816"/>
        </w:trPr>
        <w:tc>
          <w:tcPr>
            <w:tcW w:w="2847" w:type="dxa"/>
            <w:vAlign w:val="center"/>
          </w:tcPr>
          <w:p w14:paraId="061A076E" w14:textId="77777777" w:rsidR="00BC3123" w:rsidRPr="00BC3123" w:rsidRDefault="00BC3123" w:rsidP="00BC3123">
            <w:pPr>
              <w:bidi w:val="0"/>
              <w:jc w:val="center"/>
              <w:rPr>
                <w:sz w:val="24"/>
                <w:szCs w:val="24"/>
                <w:rtl/>
              </w:rPr>
            </w:pPr>
            <w:r w:rsidRPr="00BC3123">
              <w:rPr>
                <w:sz w:val="24"/>
                <w:szCs w:val="24"/>
              </w:rPr>
              <w:t>Concurrent/</w:t>
            </w:r>
            <w:r w:rsidRPr="008D09E9">
              <w:rPr>
                <w:color w:val="000000" w:themeColor="text1"/>
                <w:sz w:val="24"/>
                <w:szCs w:val="24"/>
              </w:rPr>
              <w:t xml:space="preserve">multi-threaded </w:t>
            </w:r>
            <w:r w:rsidRPr="00BC3123">
              <w:rPr>
                <w:sz w:val="24"/>
                <w:szCs w:val="24"/>
              </w:rPr>
              <w:t>download</w:t>
            </w:r>
          </w:p>
        </w:tc>
        <w:tc>
          <w:tcPr>
            <w:tcW w:w="1918" w:type="dxa"/>
            <w:vAlign w:val="center"/>
          </w:tcPr>
          <w:p w14:paraId="3C8F96E0" w14:textId="46E430E5" w:rsidR="00826046" w:rsidRPr="00BF78E5" w:rsidRDefault="00826046" w:rsidP="008D09E9">
            <w:pPr>
              <w:pStyle w:val="NormalWeb"/>
            </w:pPr>
            <w:r w:rsidRPr="00BF78E5">
              <w:t xml:space="preserve">Planned for </w:t>
            </w:r>
            <w:r w:rsidR="008D09E9" w:rsidRPr="00BF78E5">
              <w:t>V</w:t>
            </w:r>
            <w:r w:rsidRPr="00BF78E5">
              <w:t>2.0</w:t>
            </w:r>
          </w:p>
          <w:p w14:paraId="2F9BBBA3" w14:textId="77777777" w:rsidR="00826046" w:rsidRPr="00F16E1D" w:rsidRDefault="00826046" w:rsidP="00826046">
            <w:pPr>
              <w:bidi w:val="0"/>
              <w:jc w:val="center"/>
              <w:rPr>
                <w:color w:val="FF0000"/>
                <w:sz w:val="24"/>
                <w:szCs w:val="24"/>
                <w:highlight w:val="green"/>
                <w:rtl/>
              </w:rPr>
            </w:pPr>
          </w:p>
        </w:tc>
        <w:tc>
          <w:tcPr>
            <w:tcW w:w="794" w:type="dxa"/>
            <w:vAlign w:val="center"/>
          </w:tcPr>
          <w:p w14:paraId="047A2A4B" w14:textId="77777777" w:rsidR="00BC3123" w:rsidRPr="00BC3123" w:rsidRDefault="00BC3123" w:rsidP="00BC3123">
            <w:pPr>
              <w:bidi w:val="0"/>
              <w:jc w:val="center"/>
              <w:rPr>
                <w:sz w:val="24"/>
                <w:szCs w:val="24"/>
                <w:rtl/>
              </w:rPr>
            </w:pPr>
            <w:r w:rsidRPr="00BC3123">
              <w:rPr>
                <w:sz w:val="24"/>
                <w:szCs w:val="24"/>
              </w:rPr>
              <w:t>No</w:t>
            </w:r>
          </w:p>
        </w:tc>
        <w:tc>
          <w:tcPr>
            <w:tcW w:w="1724" w:type="dxa"/>
            <w:vAlign w:val="center"/>
          </w:tcPr>
          <w:p w14:paraId="5DB53D0F" w14:textId="77777777" w:rsidR="00BC3123" w:rsidRPr="00BC3123" w:rsidRDefault="00BC3123" w:rsidP="00BC3123">
            <w:pPr>
              <w:bidi w:val="0"/>
              <w:jc w:val="center"/>
              <w:rPr>
                <w:sz w:val="24"/>
                <w:szCs w:val="24"/>
                <w:rtl/>
              </w:rPr>
            </w:pPr>
            <w:r w:rsidRPr="00BC3123">
              <w:rPr>
                <w:sz w:val="24"/>
                <w:szCs w:val="24"/>
              </w:rPr>
              <w:t>Only with manual setup</w:t>
            </w:r>
          </w:p>
        </w:tc>
        <w:tc>
          <w:tcPr>
            <w:tcW w:w="1316" w:type="dxa"/>
            <w:vAlign w:val="center"/>
          </w:tcPr>
          <w:p w14:paraId="0CF46309" w14:textId="77777777" w:rsidR="00BC3123" w:rsidRPr="00BC3123" w:rsidRDefault="00BC3123" w:rsidP="00BC3123">
            <w:pPr>
              <w:bidi w:val="0"/>
              <w:jc w:val="center"/>
              <w:rPr>
                <w:sz w:val="24"/>
                <w:szCs w:val="24"/>
                <w:rtl/>
              </w:rPr>
            </w:pPr>
            <w:r w:rsidRPr="00BC3123">
              <w:rPr>
                <w:sz w:val="24"/>
                <w:szCs w:val="24"/>
              </w:rPr>
              <w:t>Not applicable</w:t>
            </w:r>
          </w:p>
        </w:tc>
        <w:tc>
          <w:tcPr>
            <w:tcW w:w="1316" w:type="dxa"/>
            <w:vAlign w:val="center"/>
          </w:tcPr>
          <w:p w14:paraId="16880A0B" w14:textId="77777777" w:rsidR="00BC3123" w:rsidRPr="00BC3123" w:rsidRDefault="00BC3123" w:rsidP="00BC3123">
            <w:pPr>
              <w:bidi w:val="0"/>
              <w:jc w:val="center"/>
              <w:rPr>
                <w:sz w:val="24"/>
                <w:szCs w:val="24"/>
              </w:rPr>
            </w:pPr>
            <w:r w:rsidRPr="00BC3123">
              <w:rPr>
                <w:sz w:val="24"/>
                <w:szCs w:val="24"/>
              </w:rPr>
              <w:t>Not applicable</w:t>
            </w:r>
          </w:p>
        </w:tc>
      </w:tr>
      <w:tr w:rsidR="00BC3123" w:rsidRPr="00BC3123" w14:paraId="1206F18C" w14:textId="77777777" w:rsidTr="008D09E9">
        <w:trPr>
          <w:trHeight w:val="552"/>
        </w:trPr>
        <w:tc>
          <w:tcPr>
            <w:tcW w:w="2847" w:type="dxa"/>
            <w:vAlign w:val="center"/>
          </w:tcPr>
          <w:p w14:paraId="26FF3FA8" w14:textId="77777777" w:rsidR="00BC3123" w:rsidRPr="00BC3123" w:rsidRDefault="00BC3123" w:rsidP="00BC3123">
            <w:pPr>
              <w:bidi w:val="0"/>
              <w:jc w:val="center"/>
              <w:rPr>
                <w:sz w:val="24"/>
                <w:szCs w:val="24"/>
                <w:rtl/>
              </w:rPr>
            </w:pPr>
            <w:r w:rsidRPr="00BC3123">
              <w:rPr>
                <w:sz w:val="24"/>
                <w:szCs w:val="24"/>
              </w:rPr>
              <w:t>Automatic file organization</w:t>
            </w:r>
          </w:p>
        </w:tc>
        <w:tc>
          <w:tcPr>
            <w:tcW w:w="1918" w:type="dxa"/>
            <w:vAlign w:val="center"/>
          </w:tcPr>
          <w:p w14:paraId="2939D771"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2B0AC180" w14:textId="77777777" w:rsidR="00BC3123" w:rsidRPr="00BC3123" w:rsidRDefault="00BC3123" w:rsidP="00BC3123">
            <w:pPr>
              <w:bidi w:val="0"/>
              <w:jc w:val="center"/>
              <w:rPr>
                <w:sz w:val="24"/>
                <w:szCs w:val="24"/>
                <w:rtl/>
              </w:rPr>
            </w:pPr>
            <w:r w:rsidRPr="00BC3123">
              <w:rPr>
                <w:sz w:val="24"/>
                <w:szCs w:val="24"/>
              </w:rPr>
              <w:t>No</w:t>
            </w:r>
          </w:p>
        </w:tc>
        <w:tc>
          <w:tcPr>
            <w:tcW w:w="1724" w:type="dxa"/>
            <w:vAlign w:val="center"/>
          </w:tcPr>
          <w:p w14:paraId="56AE0EDC" w14:textId="77777777" w:rsidR="00BC3123" w:rsidRPr="00BC3123" w:rsidRDefault="00BC3123" w:rsidP="00BC3123">
            <w:pPr>
              <w:bidi w:val="0"/>
              <w:jc w:val="center"/>
              <w:rPr>
                <w:sz w:val="24"/>
                <w:szCs w:val="24"/>
                <w:rtl/>
              </w:rPr>
            </w:pPr>
            <w:r w:rsidRPr="00BC3123">
              <w:rPr>
                <w:sz w:val="24"/>
                <w:szCs w:val="24"/>
              </w:rPr>
              <w:t>Partial (user-defined)</w:t>
            </w:r>
          </w:p>
        </w:tc>
        <w:tc>
          <w:tcPr>
            <w:tcW w:w="1316" w:type="dxa"/>
            <w:vAlign w:val="center"/>
          </w:tcPr>
          <w:p w14:paraId="6E7CF313" w14:textId="77777777" w:rsidR="00BC3123" w:rsidRPr="00BC3123" w:rsidRDefault="00BC3123" w:rsidP="00BC3123">
            <w:pPr>
              <w:bidi w:val="0"/>
              <w:jc w:val="center"/>
              <w:rPr>
                <w:sz w:val="24"/>
                <w:szCs w:val="24"/>
                <w:rtl/>
              </w:rPr>
            </w:pPr>
            <w:r w:rsidRPr="00BC3123">
              <w:rPr>
                <w:sz w:val="24"/>
                <w:szCs w:val="24"/>
              </w:rPr>
              <w:t>No</w:t>
            </w:r>
          </w:p>
        </w:tc>
        <w:tc>
          <w:tcPr>
            <w:tcW w:w="1316" w:type="dxa"/>
            <w:vAlign w:val="center"/>
          </w:tcPr>
          <w:p w14:paraId="4A8601FC" w14:textId="77777777" w:rsidR="00BC3123" w:rsidRPr="00BC3123" w:rsidRDefault="00BC3123" w:rsidP="00BC3123">
            <w:pPr>
              <w:bidi w:val="0"/>
              <w:jc w:val="center"/>
              <w:rPr>
                <w:sz w:val="24"/>
                <w:szCs w:val="24"/>
              </w:rPr>
            </w:pPr>
            <w:r w:rsidRPr="00BC3123">
              <w:rPr>
                <w:sz w:val="24"/>
                <w:szCs w:val="24"/>
              </w:rPr>
              <w:t>No</w:t>
            </w:r>
          </w:p>
        </w:tc>
      </w:tr>
      <w:tr w:rsidR="00BC3123" w:rsidRPr="00BC3123" w14:paraId="6F0D8F99" w14:textId="77777777" w:rsidTr="008D09E9">
        <w:trPr>
          <w:trHeight w:val="828"/>
        </w:trPr>
        <w:tc>
          <w:tcPr>
            <w:tcW w:w="2847" w:type="dxa"/>
            <w:vAlign w:val="center"/>
          </w:tcPr>
          <w:p w14:paraId="2F6D48E6" w14:textId="77777777" w:rsidR="00BC3123" w:rsidRPr="00BC3123" w:rsidRDefault="00BC3123" w:rsidP="00BC3123">
            <w:pPr>
              <w:bidi w:val="0"/>
              <w:jc w:val="center"/>
              <w:rPr>
                <w:sz w:val="24"/>
                <w:szCs w:val="24"/>
                <w:rtl/>
              </w:rPr>
            </w:pPr>
            <w:r w:rsidRPr="00BC3123">
              <w:rPr>
                <w:sz w:val="24"/>
                <w:szCs w:val="24"/>
              </w:rPr>
              <w:t>Cross-platform (Windows/macOS/Linux)</w:t>
            </w:r>
          </w:p>
        </w:tc>
        <w:tc>
          <w:tcPr>
            <w:tcW w:w="1918" w:type="dxa"/>
            <w:vAlign w:val="center"/>
          </w:tcPr>
          <w:p w14:paraId="0E926C82" w14:textId="1D7D4405" w:rsidR="00BC3123" w:rsidRPr="00210F2E" w:rsidRDefault="00BC3123" w:rsidP="00BC3123">
            <w:pPr>
              <w:bidi w:val="0"/>
              <w:jc w:val="center"/>
              <w:rPr>
                <w:color w:val="FF0000"/>
                <w:sz w:val="24"/>
                <w:szCs w:val="24"/>
                <w:rtl/>
              </w:rPr>
            </w:pPr>
            <w:r w:rsidRPr="00E934CE">
              <w:rPr>
                <w:color w:val="auto"/>
                <w:sz w:val="24"/>
                <w:szCs w:val="24"/>
              </w:rPr>
              <w:t>Yes</w:t>
            </w:r>
            <w:r w:rsidR="00210F2E" w:rsidRPr="00E934CE">
              <w:rPr>
                <w:color w:val="auto"/>
              </w:rPr>
              <w:t xml:space="preserve"> </w:t>
            </w:r>
            <w:r w:rsidR="00210F2E" w:rsidRPr="00E934CE">
              <w:rPr>
                <w:color w:val="auto"/>
                <w:sz w:val="24"/>
                <w:szCs w:val="24"/>
              </w:rPr>
              <w:t>Windows only</w:t>
            </w:r>
          </w:p>
        </w:tc>
        <w:tc>
          <w:tcPr>
            <w:tcW w:w="794" w:type="dxa"/>
            <w:vAlign w:val="center"/>
          </w:tcPr>
          <w:p w14:paraId="22597F9C" w14:textId="77777777" w:rsidR="00BC3123" w:rsidRPr="00BC3123" w:rsidRDefault="00BC3123" w:rsidP="00BC3123">
            <w:pPr>
              <w:bidi w:val="0"/>
              <w:jc w:val="center"/>
              <w:rPr>
                <w:sz w:val="24"/>
                <w:szCs w:val="24"/>
                <w:rtl/>
              </w:rPr>
            </w:pPr>
            <w:r w:rsidRPr="00BC3123">
              <w:rPr>
                <w:sz w:val="24"/>
                <w:szCs w:val="24"/>
              </w:rPr>
              <w:t>Yes</w:t>
            </w:r>
          </w:p>
        </w:tc>
        <w:tc>
          <w:tcPr>
            <w:tcW w:w="1724" w:type="dxa"/>
            <w:vAlign w:val="center"/>
          </w:tcPr>
          <w:p w14:paraId="5E8148FB" w14:textId="77777777" w:rsidR="00BC3123" w:rsidRPr="00BC3123" w:rsidRDefault="00BC3123" w:rsidP="00BC3123">
            <w:pPr>
              <w:bidi w:val="0"/>
              <w:jc w:val="center"/>
              <w:rPr>
                <w:sz w:val="24"/>
                <w:szCs w:val="24"/>
                <w:rtl/>
              </w:rPr>
            </w:pPr>
            <w:r w:rsidRPr="00BC3123">
              <w:rPr>
                <w:sz w:val="24"/>
                <w:szCs w:val="24"/>
              </w:rPr>
              <w:t>Yes (via R)</w:t>
            </w:r>
          </w:p>
        </w:tc>
        <w:tc>
          <w:tcPr>
            <w:tcW w:w="1316" w:type="dxa"/>
            <w:vAlign w:val="center"/>
          </w:tcPr>
          <w:p w14:paraId="20D99FB3" w14:textId="77777777" w:rsidR="00BC3123" w:rsidRPr="00BC3123" w:rsidRDefault="00BC3123" w:rsidP="00BC3123">
            <w:pPr>
              <w:bidi w:val="0"/>
              <w:jc w:val="center"/>
              <w:rPr>
                <w:sz w:val="24"/>
                <w:szCs w:val="24"/>
                <w:rtl/>
              </w:rPr>
            </w:pPr>
            <w:r w:rsidRPr="00BC3123">
              <w:rPr>
                <w:sz w:val="24"/>
                <w:szCs w:val="24"/>
              </w:rPr>
              <w:t>Web</w:t>
            </w:r>
          </w:p>
        </w:tc>
        <w:tc>
          <w:tcPr>
            <w:tcW w:w="1316" w:type="dxa"/>
            <w:vAlign w:val="center"/>
          </w:tcPr>
          <w:p w14:paraId="57D059B0" w14:textId="77777777" w:rsidR="00BC3123" w:rsidRPr="00BC3123" w:rsidRDefault="00BC3123" w:rsidP="00BC3123">
            <w:pPr>
              <w:bidi w:val="0"/>
              <w:jc w:val="center"/>
              <w:rPr>
                <w:sz w:val="24"/>
                <w:szCs w:val="24"/>
              </w:rPr>
            </w:pPr>
            <w:r w:rsidRPr="00BC3123">
              <w:rPr>
                <w:sz w:val="24"/>
                <w:szCs w:val="24"/>
              </w:rPr>
              <w:t>Web</w:t>
            </w:r>
          </w:p>
        </w:tc>
      </w:tr>
      <w:tr w:rsidR="00BC3123" w:rsidRPr="00BC3123" w14:paraId="704FD528" w14:textId="77777777" w:rsidTr="008D09E9">
        <w:trPr>
          <w:trHeight w:val="552"/>
        </w:trPr>
        <w:tc>
          <w:tcPr>
            <w:tcW w:w="2847" w:type="dxa"/>
            <w:vAlign w:val="center"/>
          </w:tcPr>
          <w:p w14:paraId="764AD88A" w14:textId="77777777" w:rsidR="00BC3123" w:rsidRPr="00BC3123" w:rsidRDefault="00BC3123" w:rsidP="00BC3123">
            <w:pPr>
              <w:bidi w:val="0"/>
              <w:jc w:val="center"/>
              <w:rPr>
                <w:sz w:val="24"/>
                <w:szCs w:val="24"/>
                <w:rtl/>
              </w:rPr>
            </w:pPr>
            <w:r w:rsidRPr="00BC3123">
              <w:rPr>
                <w:sz w:val="24"/>
                <w:szCs w:val="24"/>
              </w:rPr>
              <w:t>Bulk export of raw/processed files</w:t>
            </w:r>
          </w:p>
        </w:tc>
        <w:tc>
          <w:tcPr>
            <w:tcW w:w="1918" w:type="dxa"/>
            <w:vAlign w:val="center"/>
          </w:tcPr>
          <w:p w14:paraId="30621EFE"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3F4BCFAA" w14:textId="77777777" w:rsidR="00BC3123" w:rsidRPr="00BC3123" w:rsidRDefault="00BC3123" w:rsidP="00BC3123">
            <w:pPr>
              <w:bidi w:val="0"/>
              <w:jc w:val="center"/>
              <w:rPr>
                <w:sz w:val="24"/>
                <w:szCs w:val="24"/>
                <w:rtl/>
              </w:rPr>
            </w:pPr>
            <w:r w:rsidRPr="00BC3123">
              <w:rPr>
                <w:sz w:val="24"/>
                <w:szCs w:val="24"/>
              </w:rPr>
              <w:t>Yes</w:t>
            </w:r>
          </w:p>
        </w:tc>
        <w:tc>
          <w:tcPr>
            <w:tcW w:w="1724" w:type="dxa"/>
            <w:vAlign w:val="center"/>
          </w:tcPr>
          <w:p w14:paraId="5A6A7AFB" w14:textId="77777777" w:rsidR="00BC3123" w:rsidRPr="00BC3123" w:rsidRDefault="00BC3123" w:rsidP="00BC3123">
            <w:pPr>
              <w:bidi w:val="0"/>
              <w:jc w:val="center"/>
              <w:rPr>
                <w:sz w:val="24"/>
                <w:szCs w:val="24"/>
                <w:rtl/>
              </w:rPr>
            </w:pPr>
            <w:r w:rsidRPr="00BC3123">
              <w:rPr>
                <w:sz w:val="24"/>
                <w:szCs w:val="24"/>
              </w:rPr>
              <w:t>Yes</w:t>
            </w:r>
          </w:p>
        </w:tc>
        <w:tc>
          <w:tcPr>
            <w:tcW w:w="1316" w:type="dxa"/>
            <w:vAlign w:val="center"/>
          </w:tcPr>
          <w:p w14:paraId="41FCE14D" w14:textId="77777777" w:rsidR="00BC3123" w:rsidRPr="00BC3123" w:rsidRDefault="00BC3123" w:rsidP="00BC3123">
            <w:pPr>
              <w:bidi w:val="0"/>
              <w:jc w:val="center"/>
              <w:rPr>
                <w:sz w:val="24"/>
                <w:szCs w:val="24"/>
                <w:rtl/>
              </w:rPr>
            </w:pPr>
            <w:r w:rsidRPr="00BC3123">
              <w:rPr>
                <w:sz w:val="24"/>
                <w:szCs w:val="24"/>
              </w:rPr>
              <w:t>Limited</w:t>
            </w:r>
          </w:p>
        </w:tc>
        <w:tc>
          <w:tcPr>
            <w:tcW w:w="1316" w:type="dxa"/>
            <w:vAlign w:val="center"/>
          </w:tcPr>
          <w:p w14:paraId="1D5C12F4" w14:textId="77777777" w:rsidR="00BC3123" w:rsidRPr="00BC3123" w:rsidRDefault="00BC3123" w:rsidP="00BC3123">
            <w:pPr>
              <w:bidi w:val="0"/>
              <w:jc w:val="center"/>
              <w:rPr>
                <w:sz w:val="24"/>
                <w:szCs w:val="24"/>
              </w:rPr>
            </w:pPr>
            <w:r w:rsidRPr="00BC3123">
              <w:rPr>
                <w:sz w:val="24"/>
                <w:szCs w:val="24"/>
              </w:rPr>
              <w:t>Limited</w:t>
            </w:r>
          </w:p>
        </w:tc>
      </w:tr>
      <w:tr w:rsidR="00BC3123" w:rsidRPr="00BC3123" w14:paraId="1DD8D6A4" w14:textId="77777777" w:rsidTr="008D09E9">
        <w:trPr>
          <w:trHeight w:val="552"/>
        </w:trPr>
        <w:tc>
          <w:tcPr>
            <w:tcW w:w="2847" w:type="dxa"/>
            <w:vAlign w:val="center"/>
          </w:tcPr>
          <w:p w14:paraId="41B15A6A" w14:textId="77777777" w:rsidR="00BC3123" w:rsidRPr="00BC3123" w:rsidRDefault="00BC3123" w:rsidP="00BC3123">
            <w:pPr>
              <w:bidi w:val="0"/>
              <w:jc w:val="center"/>
              <w:rPr>
                <w:sz w:val="24"/>
                <w:szCs w:val="24"/>
                <w:rtl/>
              </w:rPr>
            </w:pPr>
            <w:r w:rsidRPr="00BC3123">
              <w:rPr>
                <w:sz w:val="24"/>
                <w:szCs w:val="24"/>
              </w:rPr>
              <w:t>Open-access TCGA support</w:t>
            </w:r>
          </w:p>
        </w:tc>
        <w:tc>
          <w:tcPr>
            <w:tcW w:w="1918" w:type="dxa"/>
            <w:vAlign w:val="center"/>
          </w:tcPr>
          <w:p w14:paraId="4BE66A27" w14:textId="77777777" w:rsidR="00BC3123" w:rsidRPr="00BC3123" w:rsidRDefault="00BC3123" w:rsidP="00BC3123">
            <w:pPr>
              <w:bidi w:val="0"/>
              <w:jc w:val="center"/>
              <w:rPr>
                <w:sz w:val="24"/>
                <w:szCs w:val="24"/>
                <w:rtl/>
              </w:rPr>
            </w:pPr>
            <w:r w:rsidRPr="00BC3123">
              <w:rPr>
                <w:sz w:val="24"/>
                <w:szCs w:val="24"/>
              </w:rPr>
              <w:t>Yes</w:t>
            </w:r>
          </w:p>
        </w:tc>
        <w:tc>
          <w:tcPr>
            <w:tcW w:w="794" w:type="dxa"/>
            <w:vAlign w:val="center"/>
          </w:tcPr>
          <w:p w14:paraId="6183253F" w14:textId="77777777" w:rsidR="00BC3123" w:rsidRPr="00BC3123" w:rsidRDefault="00BC3123" w:rsidP="00BC3123">
            <w:pPr>
              <w:bidi w:val="0"/>
              <w:jc w:val="center"/>
              <w:rPr>
                <w:sz w:val="24"/>
                <w:szCs w:val="24"/>
                <w:rtl/>
              </w:rPr>
            </w:pPr>
            <w:r w:rsidRPr="00BC3123">
              <w:rPr>
                <w:sz w:val="24"/>
                <w:szCs w:val="24"/>
              </w:rPr>
              <w:t>Yes</w:t>
            </w:r>
          </w:p>
        </w:tc>
        <w:tc>
          <w:tcPr>
            <w:tcW w:w="1724" w:type="dxa"/>
            <w:vAlign w:val="center"/>
          </w:tcPr>
          <w:p w14:paraId="7F38BBDF" w14:textId="77777777" w:rsidR="00BC3123" w:rsidRPr="00BC3123" w:rsidRDefault="00BC3123" w:rsidP="00BC3123">
            <w:pPr>
              <w:bidi w:val="0"/>
              <w:jc w:val="center"/>
              <w:rPr>
                <w:sz w:val="24"/>
                <w:szCs w:val="24"/>
                <w:rtl/>
              </w:rPr>
            </w:pPr>
            <w:r w:rsidRPr="00BC3123">
              <w:rPr>
                <w:sz w:val="24"/>
                <w:szCs w:val="24"/>
              </w:rPr>
              <w:t>Yes</w:t>
            </w:r>
          </w:p>
        </w:tc>
        <w:tc>
          <w:tcPr>
            <w:tcW w:w="1316" w:type="dxa"/>
            <w:vAlign w:val="center"/>
          </w:tcPr>
          <w:p w14:paraId="3E8C5FFC" w14:textId="77777777" w:rsidR="00BC3123" w:rsidRPr="00BC3123" w:rsidRDefault="00BC3123" w:rsidP="00BC3123">
            <w:pPr>
              <w:bidi w:val="0"/>
              <w:jc w:val="center"/>
              <w:rPr>
                <w:sz w:val="24"/>
                <w:szCs w:val="24"/>
                <w:rtl/>
              </w:rPr>
            </w:pPr>
            <w:r w:rsidRPr="00BC3123">
              <w:rPr>
                <w:sz w:val="24"/>
                <w:szCs w:val="24"/>
              </w:rPr>
              <w:t>Yes</w:t>
            </w:r>
          </w:p>
        </w:tc>
        <w:tc>
          <w:tcPr>
            <w:tcW w:w="1316" w:type="dxa"/>
            <w:vAlign w:val="center"/>
          </w:tcPr>
          <w:p w14:paraId="2A4B17B2" w14:textId="77777777" w:rsidR="00BC3123" w:rsidRPr="00BC3123" w:rsidRDefault="00BC3123" w:rsidP="00BC3123">
            <w:pPr>
              <w:bidi w:val="0"/>
              <w:jc w:val="center"/>
              <w:rPr>
                <w:sz w:val="24"/>
                <w:szCs w:val="24"/>
              </w:rPr>
            </w:pPr>
            <w:r w:rsidRPr="00BC3123">
              <w:rPr>
                <w:sz w:val="24"/>
                <w:szCs w:val="24"/>
              </w:rPr>
              <w:t>Yes</w:t>
            </w:r>
          </w:p>
        </w:tc>
      </w:tr>
      <w:tr w:rsidR="00BC3123" w:rsidRPr="00BC3123" w14:paraId="1FF08A24" w14:textId="77777777" w:rsidTr="008D09E9">
        <w:trPr>
          <w:trHeight w:val="552"/>
        </w:trPr>
        <w:tc>
          <w:tcPr>
            <w:tcW w:w="2847" w:type="dxa"/>
            <w:vAlign w:val="center"/>
          </w:tcPr>
          <w:p w14:paraId="22AF164A" w14:textId="77777777" w:rsidR="00BC3123" w:rsidRPr="00BC3123" w:rsidRDefault="00BC3123" w:rsidP="00BC3123">
            <w:pPr>
              <w:bidi w:val="0"/>
              <w:jc w:val="center"/>
              <w:rPr>
                <w:sz w:val="24"/>
                <w:szCs w:val="24"/>
                <w:rtl/>
              </w:rPr>
            </w:pPr>
            <w:r w:rsidRPr="00BC3123">
              <w:rPr>
                <w:sz w:val="24"/>
                <w:szCs w:val="24"/>
              </w:rPr>
              <w:t>Controlled-access support</w:t>
            </w:r>
          </w:p>
        </w:tc>
        <w:tc>
          <w:tcPr>
            <w:tcW w:w="1918" w:type="dxa"/>
            <w:vAlign w:val="center"/>
          </w:tcPr>
          <w:p w14:paraId="31F6DE04" w14:textId="77777777" w:rsidR="00BC3123" w:rsidRPr="00BC3123" w:rsidRDefault="00BC3123" w:rsidP="00BC3123">
            <w:pPr>
              <w:bidi w:val="0"/>
              <w:jc w:val="center"/>
              <w:rPr>
                <w:sz w:val="24"/>
                <w:szCs w:val="24"/>
                <w:rtl/>
              </w:rPr>
            </w:pPr>
            <w:r w:rsidRPr="00BC3123">
              <w:rPr>
                <w:sz w:val="24"/>
                <w:szCs w:val="24"/>
              </w:rPr>
              <w:t>Planned</w:t>
            </w:r>
          </w:p>
        </w:tc>
        <w:tc>
          <w:tcPr>
            <w:tcW w:w="794" w:type="dxa"/>
            <w:vAlign w:val="center"/>
          </w:tcPr>
          <w:p w14:paraId="66AFFDB7" w14:textId="77777777" w:rsidR="00BC3123" w:rsidRPr="00BC3123" w:rsidRDefault="00BC3123" w:rsidP="00BC3123">
            <w:pPr>
              <w:bidi w:val="0"/>
              <w:jc w:val="center"/>
              <w:rPr>
                <w:sz w:val="24"/>
                <w:szCs w:val="24"/>
                <w:rtl/>
              </w:rPr>
            </w:pPr>
            <w:r w:rsidRPr="00BC3123">
              <w:rPr>
                <w:sz w:val="24"/>
                <w:szCs w:val="24"/>
              </w:rPr>
              <w:t>Yes</w:t>
            </w:r>
          </w:p>
        </w:tc>
        <w:tc>
          <w:tcPr>
            <w:tcW w:w="1724" w:type="dxa"/>
            <w:vAlign w:val="center"/>
          </w:tcPr>
          <w:p w14:paraId="08A55383" w14:textId="77777777" w:rsidR="00BC3123" w:rsidRPr="00BC3123" w:rsidRDefault="00BC3123" w:rsidP="00BC3123">
            <w:pPr>
              <w:bidi w:val="0"/>
              <w:jc w:val="center"/>
              <w:rPr>
                <w:sz w:val="24"/>
                <w:szCs w:val="24"/>
                <w:rtl/>
              </w:rPr>
            </w:pPr>
            <w:r w:rsidRPr="00BC3123">
              <w:rPr>
                <w:sz w:val="24"/>
                <w:szCs w:val="24"/>
              </w:rPr>
              <w:t>Yes</w:t>
            </w:r>
          </w:p>
        </w:tc>
        <w:tc>
          <w:tcPr>
            <w:tcW w:w="1316" w:type="dxa"/>
            <w:vAlign w:val="center"/>
          </w:tcPr>
          <w:p w14:paraId="49818FFF" w14:textId="77777777" w:rsidR="00BC3123" w:rsidRPr="00BC3123" w:rsidRDefault="00BC3123" w:rsidP="00BC3123">
            <w:pPr>
              <w:bidi w:val="0"/>
              <w:jc w:val="center"/>
              <w:rPr>
                <w:sz w:val="24"/>
                <w:szCs w:val="24"/>
                <w:rtl/>
              </w:rPr>
            </w:pPr>
            <w:r w:rsidRPr="00BC3123">
              <w:rPr>
                <w:sz w:val="24"/>
                <w:szCs w:val="24"/>
              </w:rPr>
              <w:t>No</w:t>
            </w:r>
          </w:p>
        </w:tc>
        <w:tc>
          <w:tcPr>
            <w:tcW w:w="1316" w:type="dxa"/>
            <w:vAlign w:val="center"/>
          </w:tcPr>
          <w:p w14:paraId="0A7E0773" w14:textId="77777777" w:rsidR="00BC3123" w:rsidRPr="00BC3123" w:rsidRDefault="00BC3123" w:rsidP="00BC3123">
            <w:pPr>
              <w:bidi w:val="0"/>
              <w:jc w:val="center"/>
              <w:rPr>
                <w:sz w:val="24"/>
                <w:szCs w:val="24"/>
              </w:rPr>
            </w:pPr>
            <w:r w:rsidRPr="00BC3123">
              <w:rPr>
                <w:sz w:val="24"/>
                <w:szCs w:val="24"/>
              </w:rPr>
              <w:t>No</w:t>
            </w:r>
          </w:p>
        </w:tc>
      </w:tr>
      <w:tr w:rsidR="00BC3123" w:rsidRPr="00BC3123" w14:paraId="60E5372D" w14:textId="77777777" w:rsidTr="008D09E9">
        <w:trPr>
          <w:trHeight w:val="828"/>
        </w:trPr>
        <w:tc>
          <w:tcPr>
            <w:tcW w:w="2847" w:type="dxa"/>
            <w:vAlign w:val="center"/>
          </w:tcPr>
          <w:p w14:paraId="69F045DE" w14:textId="77777777" w:rsidR="00BC3123" w:rsidRPr="00BC3123" w:rsidRDefault="00BC3123" w:rsidP="00BC3123">
            <w:pPr>
              <w:bidi w:val="0"/>
              <w:jc w:val="center"/>
              <w:rPr>
                <w:sz w:val="24"/>
                <w:szCs w:val="24"/>
                <w:rtl/>
              </w:rPr>
            </w:pPr>
            <w:r w:rsidRPr="00BC3123">
              <w:rPr>
                <w:sz w:val="24"/>
                <w:szCs w:val="24"/>
              </w:rPr>
              <w:t>Primary focus</w:t>
            </w:r>
          </w:p>
        </w:tc>
        <w:tc>
          <w:tcPr>
            <w:tcW w:w="1918" w:type="dxa"/>
            <w:vAlign w:val="center"/>
          </w:tcPr>
          <w:p w14:paraId="41B537BB" w14:textId="77777777" w:rsidR="00BC3123" w:rsidRPr="00BC3123" w:rsidRDefault="00BC3123" w:rsidP="00BC3123">
            <w:pPr>
              <w:bidi w:val="0"/>
              <w:jc w:val="center"/>
              <w:rPr>
                <w:sz w:val="24"/>
                <w:szCs w:val="24"/>
                <w:rtl/>
              </w:rPr>
            </w:pPr>
            <w:r w:rsidRPr="00BC3123">
              <w:rPr>
                <w:sz w:val="24"/>
                <w:szCs w:val="24"/>
              </w:rPr>
              <w:t>Data retrieval</w:t>
            </w:r>
          </w:p>
        </w:tc>
        <w:tc>
          <w:tcPr>
            <w:tcW w:w="794" w:type="dxa"/>
            <w:vAlign w:val="center"/>
          </w:tcPr>
          <w:p w14:paraId="6027D1DB" w14:textId="77777777" w:rsidR="00BC3123" w:rsidRPr="00BC3123" w:rsidRDefault="00BC3123" w:rsidP="00BC3123">
            <w:pPr>
              <w:bidi w:val="0"/>
              <w:jc w:val="center"/>
              <w:rPr>
                <w:sz w:val="24"/>
                <w:szCs w:val="24"/>
                <w:rtl/>
              </w:rPr>
            </w:pPr>
            <w:r w:rsidRPr="00BC3123">
              <w:rPr>
                <w:sz w:val="24"/>
                <w:szCs w:val="24"/>
              </w:rPr>
              <w:t>Data retrieval</w:t>
            </w:r>
          </w:p>
        </w:tc>
        <w:tc>
          <w:tcPr>
            <w:tcW w:w="1724" w:type="dxa"/>
            <w:vAlign w:val="center"/>
          </w:tcPr>
          <w:p w14:paraId="72AA9EFD" w14:textId="77777777" w:rsidR="00BC3123" w:rsidRPr="00BC3123" w:rsidRDefault="00BC3123" w:rsidP="00BC3123">
            <w:pPr>
              <w:bidi w:val="0"/>
              <w:jc w:val="center"/>
              <w:rPr>
                <w:sz w:val="24"/>
                <w:szCs w:val="24"/>
                <w:rtl/>
              </w:rPr>
            </w:pPr>
            <w:r w:rsidRPr="00BC3123">
              <w:rPr>
                <w:sz w:val="24"/>
                <w:szCs w:val="24"/>
              </w:rPr>
              <w:t>Data retrieval + analysis</w:t>
            </w:r>
          </w:p>
        </w:tc>
        <w:tc>
          <w:tcPr>
            <w:tcW w:w="1316" w:type="dxa"/>
            <w:vAlign w:val="center"/>
          </w:tcPr>
          <w:p w14:paraId="16A24759" w14:textId="77777777" w:rsidR="00BC3123" w:rsidRPr="00BC3123" w:rsidRDefault="00BC3123" w:rsidP="00BC3123">
            <w:pPr>
              <w:bidi w:val="0"/>
              <w:jc w:val="center"/>
              <w:rPr>
                <w:sz w:val="24"/>
                <w:szCs w:val="24"/>
                <w:rtl/>
              </w:rPr>
            </w:pPr>
            <w:r w:rsidRPr="00BC3123">
              <w:rPr>
                <w:sz w:val="24"/>
                <w:szCs w:val="24"/>
              </w:rPr>
              <w:t>Data exploration</w:t>
            </w:r>
          </w:p>
        </w:tc>
        <w:tc>
          <w:tcPr>
            <w:tcW w:w="1316" w:type="dxa"/>
            <w:vAlign w:val="center"/>
          </w:tcPr>
          <w:p w14:paraId="6A97E97C" w14:textId="77777777" w:rsidR="00BC3123" w:rsidRPr="00BC3123" w:rsidRDefault="00BC3123" w:rsidP="00BC3123">
            <w:pPr>
              <w:bidi w:val="0"/>
              <w:jc w:val="center"/>
              <w:rPr>
                <w:sz w:val="24"/>
                <w:szCs w:val="24"/>
              </w:rPr>
            </w:pPr>
            <w:r w:rsidRPr="00BC3123">
              <w:rPr>
                <w:sz w:val="24"/>
                <w:szCs w:val="24"/>
              </w:rPr>
              <w:t>Data exploration</w:t>
            </w:r>
          </w:p>
        </w:tc>
      </w:tr>
      <w:tr w:rsidR="00BC3123" w:rsidRPr="00BC3123" w14:paraId="643502CF" w14:textId="77777777" w:rsidTr="008D09E9">
        <w:trPr>
          <w:trHeight w:val="1105"/>
        </w:trPr>
        <w:tc>
          <w:tcPr>
            <w:tcW w:w="2847" w:type="dxa"/>
            <w:vAlign w:val="center"/>
          </w:tcPr>
          <w:p w14:paraId="5482A039" w14:textId="77777777" w:rsidR="00BC3123" w:rsidRPr="00BC3123" w:rsidRDefault="00BC3123" w:rsidP="00BC3123">
            <w:pPr>
              <w:bidi w:val="0"/>
              <w:jc w:val="center"/>
              <w:rPr>
                <w:sz w:val="24"/>
                <w:szCs w:val="24"/>
                <w:rtl/>
              </w:rPr>
            </w:pPr>
            <w:r w:rsidRPr="00BC3123">
              <w:rPr>
                <w:sz w:val="24"/>
                <w:szCs w:val="24"/>
              </w:rPr>
              <w:t>License</w:t>
            </w:r>
          </w:p>
        </w:tc>
        <w:tc>
          <w:tcPr>
            <w:tcW w:w="1918" w:type="dxa"/>
            <w:vAlign w:val="center"/>
          </w:tcPr>
          <w:p w14:paraId="3249939C" w14:textId="77777777" w:rsidR="00BC3123" w:rsidRPr="00BC3123" w:rsidRDefault="00BC3123" w:rsidP="00BC3123">
            <w:pPr>
              <w:bidi w:val="0"/>
              <w:jc w:val="center"/>
              <w:rPr>
                <w:sz w:val="24"/>
                <w:szCs w:val="24"/>
                <w:rtl/>
              </w:rPr>
            </w:pPr>
            <w:r w:rsidRPr="00BC3123">
              <w:rPr>
                <w:sz w:val="24"/>
                <w:szCs w:val="24"/>
              </w:rPr>
              <w:t>MIT</w:t>
            </w:r>
          </w:p>
        </w:tc>
        <w:tc>
          <w:tcPr>
            <w:tcW w:w="794" w:type="dxa"/>
            <w:vAlign w:val="center"/>
          </w:tcPr>
          <w:p w14:paraId="4BB08689" w14:textId="77777777" w:rsidR="00BC3123" w:rsidRPr="00BC3123" w:rsidRDefault="00BC3123" w:rsidP="00BC3123">
            <w:pPr>
              <w:bidi w:val="0"/>
              <w:jc w:val="center"/>
              <w:rPr>
                <w:sz w:val="24"/>
                <w:szCs w:val="24"/>
                <w:rtl/>
              </w:rPr>
            </w:pPr>
            <w:r w:rsidRPr="00BC3123">
              <w:rPr>
                <w:sz w:val="24"/>
                <w:szCs w:val="24"/>
              </w:rPr>
              <w:t>Not specified (NCI tool)</w:t>
            </w:r>
          </w:p>
        </w:tc>
        <w:tc>
          <w:tcPr>
            <w:tcW w:w="1724" w:type="dxa"/>
            <w:vAlign w:val="center"/>
          </w:tcPr>
          <w:p w14:paraId="4E261ED2" w14:textId="77777777" w:rsidR="00BC3123" w:rsidRPr="00BC3123" w:rsidRDefault="00BC3123" w:rsidP="00BC3123">
            <w:pPr>
              <w:bidi w:val="0"/>
              <w:jc w:val="center"/>
              <w:rPr>
                <w:sz w:val="24"/>
                <w:szCs w:val="24"/>
                <w:rtl/>
              </w:rPr>
            </w:pPr>
            <w:r w:rsidRPr="00BC3123">
              <w:rPr>
                <w:sz w:val="24"/>
                <w:szCs w:val="24"/>
              </w:rPr>
              <w:t>GPL-</w:t>
            </w:r>
            <w:r w:rsidRPr="00BC3123">
              <w:rPr>
                <w:sz w:val="24"/>
                <w:szCs w:val="24"/>
                <w:rtl/>
              </w:rPr>
              <w:t>3</w:t>
            </w:r>
          </w:p>
        </w:tc>
        <w:tc>
          <w:tcPr>
            <w:tcW w:w="1316" w:type="dxa"/>
            <w:vAlign w:val="center"/>
          </w:tcPr>
          <w:p w14:paraId="27792B18" w14:textId="77777777" w:rsidR="00BC3123" w:rsidRPr="00BC3123" w:rsidRDefault="00BC3123" w:rsidP="00BC3123">
            <w:pPr>
              <w:bidi w:val="0"/>
              <w:jc w:val="center"/>
              <w:rPr>
                <w:sz w:val="24"/>
                <w:szCs w:val="24"/>
                <w:rtl/>
              </w:rPr>
            </w:pPr>
            <w:r w:rsidRPr="00BC3123">
              <w:rPr>
                <w:sz w:val="24"/>
                <w:szCs w:val="24"/>
              </w:rPr>
              <w:t>BSD/MIT</w:t>
            </w:r>
          </w:p>
        </w:tc>
        <w:tc>
          <w:tcPr>
            <w:tcW w:w="1316" w:type="dxa"/>
            <w:vAlign w:val="center"/>
          </w:tcPr>
          <w:p w14:paraId="6E76F229" w14:textId="77777777" w:rsidR="00BC3123" w:rsidRPr="00BC3123" w:rsidRDefault="00BC3123" w:rsidP="00BC3123">
            <w:pPr>
              <w:bidi w:val="0"/>
              <w:jc w:val="center"/>
              <w:rPr>
                <w:sz w:val="24"/>
                <w:szCs w:val="24"/>
              </w:rPr>
            </w:pPr>
            <w:r w:rsidRPr="00BC3123">
              <w:rPr>
                <w:sz w:val="24"/>
                <w:szCs w:val="24"/>
              </w:rPr>
              <w:t>Public</w:t>
            </w:r>
          </w:p>
        </w:tc>
      </w:tr>
    </w:tbl>
    <w:p w14:paraId="4C3F25C4" w14:textId="77777777" w:rsidR="00BC3123" w:rsidRPr="00BC3123" w:rsidRDefault="00BC3123" w:rsidP="00BC3123">
      <w:pPr>
        <w:bidi w:val="0"/>
        <w:jc w:val="both"/>
        <w:rPr>
          <w:sz w:val="24"/>
          <w:szCs w:val="24"/>
          <w:rtl/>
        </w:rPr>
      </w:pPr>
    </w:p>
    <w:p w14:paraId="44DC6A39" w14:textId="4095746E" w:rsidR="00BC3123" w:rsidRDefault="00BC3123" w:rsidP="00E934CE">
      <w:pPr>
        <w:bidi w:val="0"/>
        <w:jc w:val="both"/>
        <w:rPr>
          <w:rtl/>
          <w:lang w:bidi="fa-IR"/>
        </w:rPr>
      </w:pPr>
    </w:p>
    <w:p w14:paraId="5DBAC1C4" w14:textId="7DCA6680" w:rsidR="00E934CE" w:rsidRPr="00DC7A04" w:rsidRDefault="00E934CE" w:rsidP="005310E0">
      <w:pPr>
        <w:bidi w:val="0"/>
        <w:rPr>
          <w:b/>
          <w:bCs/>
          <w:color w:val="auto"/>
          <w:sz w:val="24"/>
          <w:szCs w:val="24"/>
        </w:rPr>
      </w:pPr>
      <w:r w:rsidRPr="00F16E1D">
        <w:rPr>
          <w:b/>
          <w:bCs/>
          <w:color w:val="auto"/>
          <w:sz w:val="28"/>
          <w:szCs w:val="28"/>
        </w:rPr>
        <w:t>Conclusion</w:t>
      </w:r>
      <w:r w:rsidRPr="00FF38D1">
        <w:rPr>
          <w:b/>
          <w:bCs/>
          <w:color w:val="auto"/>
          <w:sz w:val="24"/>
          <w:szCs w:val="24"/>
        </w:rPr>
        <w:br/>
        <w:t xml:space="preserve">TCGA-DL provides a fast, user-friendly, and code-free solution for downloading TCGA data through an intuitive </w:t>
      </w:r>
      <w:proofErr w:type="spellStart"/>
      <w:r w:rsidRPr="00FF38D1">
        <w:rPr>
          <w:b/>
          <w:bCs/>
          <w:color w:val="auto"/>
          <w:sz w:val="24"/>
          <w:szCs w:val="24"/>
        </w:rPr>
        <w:t>CustomTkinter</w:t>
      </w:r>
      <w:proofErr w:type="spellEnd"/>
      <w:r w:rsidRPr="00FF38D1">
        <w:rPr>
          <w:b/>
          <w:bCs/>
          <w:color w:val="auto"/>
          <w:sz w:val="24"/>
          <w:szCs w:val="24"/>
        </w:rPr>
        <w:t>-based graphical interface. By leveraging manifest-driven concurrent downloads, it significantly reduces retrieval time while maintaining full compatibility with the official GDC data infrastructure. Designed specifically for biologists and clinicians without programming expertise, TCGA-DL democratizes access to large-scale cancer genomics data and bridges a critical gap in current analytical workflow</w:t>
      </w:r>
      <w:r w:rsidR="00E70F50">
        <w:rPr>
          <w:b/>
          <w:bCs/>
          <w:color w:val="auto"/>
          <w:sz w:val="24"/>
          <w:szCs w:val="24"/>
        </w:rPr>
        <w:t xml:space="preserve"> </w:t>
      </w:r>
      <w:r w:rsidRPr="00FF38D1">
        <w:rPr>
          <w:b/>
          <w:bCs/>
          <w:color w:val="auto"/>
          <w:sz w:val="24"/>
          <w:szCs w:val="24"/>
        </w:rPr>
        <w:t xml:space="preserve">TCGA-DL is a lightweight Windows-based application distributed under the MIT License and freely available at: </w:t>
      </w:r>
      <w:hyperlink r:id="rId9" w:history="1">
        <w:r w:rsidR="00F16E1D" w:rsidRPr="00DC7A04">
          <w:rPr>
            <w:rStyle w:val="Hyperlink"/>
            <w:b/>
            <w:bCs/>
            <w:sz w:val="24"/>
            <w:szCs w:val="24"/>
          </w:rPr>
          <w:t>https://siamak-salimy.github.io/HMNexus/</w:t>
        </w:r>
      </w:hyperlink>
      <w:r w:rsidRPr="00DC7A04">
        <w:rPr>
          <w:b/>
          <w:bCs/>
          <w:color w:val="auto"/>
          <w:sz w:val="24"/>
          <w:szCs w:val="24"/>
        </w:rPr>
        <w:t>.</w:t>
      </w:r>
    </w:p>
    <w:p w14:paraId="60A8755D" w14:textId="625D6DBE" w:rsidR="00E934CE" w:rsidRPr="00FF38D1" w:rsidRDefault="00E934CE" w:rsidP="00FB0845">
      <w:pPr>
        <w:bidi w:val="0"/>
        <w:rPr>
          <w:b/>
          <w:bCs/>
          <w:color w:val="auto"/>
          <w:sz w:val="24"/>
          <w:szCs w:val="24"/>
        </w:rPr>
      </w:pPr>
      <w:r w:rsidRPr="00DC7A04">
        <w:rPr>
          <w:b/>
          <w:bCs/>
          <w:color w:val="auto"/>
          <w:sz w:val="24"/>
          <w:szCs w:val="24"/>
        </w:rPr>
        <w:t>Availability of data and materials</w:t>
      </w:r>
      <w:r w:rsidRPr="00FF38D1">
        <w:rPr>
          <w:b/>
          <w:bCs/>
          <w:color w:val="auto"/>
          <w:sz w:val="24"/>
          <w:szCs w:val="24"/>
        </w:rPr>
        <w:br/>
        <w:t>TCGA-DL is open-source software released under the MIT License. The complete source code, installation instructions, user documentation, and demonstration videos are publicly available on GitHub at</w:t>
      </w:r>
      <w:r w:rsidRPr="00DC7A04">
        <w:rPr>
          <w:b/>
          <w:bCs/>
          <w:color w:val="auto"/>
          <w:sz w:val="24"/>
          <w:szCs w:val="24"/>
        </w:rPr>
        <w:t xml:space="preserve">: </w:t>
      </w:r>
      <w:hyperlink r:id="rId10" w:history="1">
        <w:r w:rsidR="00F16E1D" w:rsidRPr="00DC7A04">
          <w:rPr>
            <w:rStyle w:val="Hyperlink"/>
            <w:b/>
            <w:bCs/>
            <w:sz w:val="24"/>
            <w:szCs w:val="24"/>
          </w:rPr>
          <w:t>https://github.com/Siamak-salimy/HMNexus</w:t>
        </w:r>
      </w:hyperlink>
      <w:r w:rsidR="00F16E1D">
        <w:rPr>
          <w:rStyle w:val="Hyperlink"/>
          <w:rFonts w:hint="cs"/>
          <w:b/>
          <w:bCs/>
          <w:color w:val="auto"/>
          <w:sz w:val="24"/>
          <w:szCs w:val="24"/>
          <w:rtl/>
        </w:rPr>
        <w:t xml:space="preserve"> </w:t>
      </w:r>
      <w:r w:rsidRPr="00FF38D1">
        <w:rPr>
          <w:b/>
          <w:bCs/>
          <w:color w:val="auto"/>
          <w:sz w:val="24"/>
          <w:szCs w:val="24"/>
        </w:rPr>
        <w:t>.</w:t>
      </w:r>
      <w:r w:rsidRPr="00FF38D1">
        <w:rPr>
          <w:b/>
          <w:bCs/>
          <w:color w:val="auto"/>
          <w:sz w:val="24"/>
          <w:szCs w:val="24"/>
        </w:rPr>
        <w:br/>
        <w:t xml:space="preserve">All TCGA data used for benchmarking (e.g., BRCA, SKCM, LUAD) are publicly hosted by the Genomic Data Commons (GDC) and are freely accessible at </w:t>
      </w:r>
      <w:hyperlink r:id="rId11" w:history="1">
        <w:r w:rsidRPr="00FF38D1">
          <w:rPr>
            <w:rStyle w:val="Hyperlink"/>
            <w:b/>
            <w:bCs/>
            <w:color w:val="auto"/>
            <w:sz w:val="24"/>
            <w:szCs w:val="24"/>
          </w:rPr>
          <w:t>https://portal.gdc.cancer.gov/</w:t>
        </w:r>
      </w:hyperlink>
      <w:r w:rsidRPr="00FF38D1">
        <w:rPr>
          <w:b/>
          <w:bCs/>
          <w:color w:val="auto"/>
          <w:sz w:val="24"/>
          <w:szCs w:val="24"/>
        </w:rPr>
        <w:t>.</w:t>
      </w:r>
      <w:r w:rsidRPr="00FF38D1">
        <w:rPr>
          <w:b/>
          <w:bCs/>
          <w:color w:val="auto"/>
          <w:sz w:val="24"/>
          <w:szCs w:val="24"/>
        </w:rPr>
        <w:br/>
        <w:t xml:space="preserve">No proprietary or restricted datasets were used in this study. TCGA-DL runs natively on Windows and requires no Python environment. A standalone executable built with </w:t>
      </w:r>
      <w:proofErr w:type="spellStart"/>
      <w:r w:rsidRPr="00FF38D1">
        <w:rPr>
          <w:b/>
          <w:bCs/>
          <w:color w:val="auto"/>
          <w:sz w:val="24"/>
          <w:szCs w:val="24"/>
        </w:rPr>
        <w:t>PyInstaller</w:t>
      </w:r>
      <w:proofErr w:type="spellEnd"/>
      <w:r w:rsidRPr="00FF38D1">
        <w:rPr>
          <w:b/>
          <w:bCs/>
          <w:color w:val="auto"/>
          <w:sz w:val="24"/>
          <w:szCs w:val="24"/>
        </w:rPr>
        <w:t xml:space="preserve"> is provided for users who prefer direct installation-free execution.</w:t>
      </w:r>
    </w:p>
    <w:p w14:paraId="39AB569D" w14:textId="77777777" w:rsidR="00E934CE" w:rsidRPr="00FF38D1" w:rsidRDefault="00E934CE" w:rsidP="00E934CE">
      <w:pPr>
        <w:bidi w:val="0"/>
        <w:rPr>
          <w:b/>
          <w:bCs/>
          <w:color w:val="auto"/>
          <w:sz w:val="24"/>
          <w:szCs w:val="24"/>
        </w:rPr>
      </w:pPr>
      <w:r w:rsidRPr="00FF38D1">
        <w:rPr>
          <w:b/>
          <w:bCs/>
          <w:color w:val="auto"/>
          <w:sz w:val="24"/>
          <w:szCs w:val="24"/>
        </w:rPr>
        <w:t>Author Contributions</w:t>
      </w:r>
      <w:r w:rsidRPr="00FF38D1">
        <w:rPr>
          <w:b/>
          <w:bCs/>
          <w:color w:val="auto"/>
          <w:sz w:val="24"/>
          <w:szCs w:val="24"/>
        </w:rPr>
        <w:br/>
        <w:t xml:space="preserve">Siamak </w:t>
      </w:r>
      <w:proofErr w:type="spellStart"/>
      <w:r w:rsidRPr="00FF38D1">
        <w:rPr>
          <w:b/>
          <w:bCs/>
          <w:color w:val="auto"/>
          <w:sz w:val="24"/>
          <w:szCs w:val="24"/>
        </w:rPr>
        <w:t>Salimy</w:t>
      </w:r>
      <w:proofErr w:type="spellEnd"/>
      <w:r w:rsidRPr="00FF38D1">
        <w:rPr>
          <w:b/>
          <w:bCs/>
          <w:color w:val="auto"/>
          <w:sz w:val="24"/>
          <w:szCs w:val="24"/>
        </w:rPr>
        <w:t>: Conceptualization, Software development, Implementation of GUI and download engine, Performance benchmarking, Manuscript writing – original draft, Writing – review &amp; editing, Project administration, Corresponding author.</w:t>
      </w:r>
      <w:r w:rsidRPr="00FF38D1">
        <w:rPr>
          <w:b/>
          <w:bCs/>
          <w:color w:val="auto"/>
          <w:sz w:val="24"/>
          <w:szCs w:val="24"/>
        </w:rPr>
        <w:br/>
      </w:r>
      <w:proofErr w:type="spellStart"/>
      <w:r w:rsidRPr="00FF38D1">
        <w:rPr>
          <w:b/>
          <w:bCs/>
          <w:color w:val="auto"/>
          <w:sz w:val="24"/>
          <w:szCs w:val="24"/>
        </w:rPr>
        <w:t>Amirmohammad</w:t>
      </w:r>
      <w:proofErr w:type="spellEnd"/>
      <w:r w:rsidRPr="00FF38D1">
        <w:rPr>
          <w:b/>
          <w:bCs/>
          <w:color w:val="auto"/>
          <w:sz w:val="24"/>
          <w:szCs w:val="24"/>
        </w:rPr>
        <w:t xml:space="preserve"> Asgari: Experimental design, User interface testing, Validation, Critical review of manuscript.</w:t>
      </w:r>
      <w:r w:rsidRPr="00FF38D1">
        <w:rPr>
          <w:b/>
          <w:bCs/>
          <w:color w:val="auto"/>
          <w:sz w:val="24"/>
          <w:szCs w:val="24"/>
        </w:rPr>
        <w:br/>
        <w:t>Mohammadreza Shahbazi: Data integrity validation, Benchmarking support, Documentation, Visualization.</w:t>
      </w:r>
      <w:r w:rsidRPr="00FF38D1">
        <w:rPr>
          <w:b/>
          <w:bCs/>
          <w:color w:val="auto"/>
          <w:sz w:val="24"/>
          <w:szCs w:val="24"/>
        </w:rPr>
        <w:br/>
        <w:t>Abolfazl Ghasemi: Cross-platform testing (Windows/macOS/Linux), Dependency optimization, Critical review of technical content.</w:t>
      </w:r>
      <w:r w:rsidRPr="00FF38D1">
        <w:rPr>
          <w:b/>
          <w:bCs/>
          <w:color w:val="auto"/>
          <w:sz w:val="24"/>
          <w:szCs w:val="24"/>
        </w:rPr>
        <w:br/>
        <w:t xml:space="preserve">Mahan </w:t>
      </w:r>
      <w:proofErr w:type="spellStart"/>
      <w:r w:rsidRPr="00FF38D1">
        <w:rPr>
          <w:b/>
          <w:bCs/>
          <w:color w:val="auto"/>
          <w:sz w:val="24"/>
          <w:szCs w:val="24"/>
        </w:rPr>
        <w:t>Mirzade</w:t>
      </w:r>
      <w:proofErr w:type="spellEnd"/>
      <w:r w:rsidRPr="00FF38D1">
        <w:rPr>
          <w:b/>
          <w:bCs/>
          <w:color w:val="auto"/>
          <w:sz w:val="24"/>
          <w:szCs w:val="24"/>
        </w:rPr>
        <w:t>:  Performance optimization review, GUI usability refinement, technical validation, and architectural design contributions.</w:t>
      </w:r>
    </w:p>
    <w:p w14:paraId="159A1756" w14:textId="537DED12" w:rsidR="00D65E16" w:rsidRDefault="00E934CE" w:rsidP="00D65E16">
      <w:pPr>
        <w:bidi w:val="0"/>
        <w:rPr>
          <w:b/>
          <w:bCs/>
          <w:color w:val="auto"/>
          <w:sz w:val="24"/>
          <w:szCs w:val="24"/>
          <w:rtl/>
        </w:rPr>
      </w:pPr>
      <w:r w:rsidRPr="00FF38D1">
        <w:rPr>
          <w:b/>
          <w:bCs/>
          <w:color w:val="auto"/>
          <w:sz w:val="24"/>
          <w:szCs w:val="24"/>
        </w:rPr>
        <w:t>All authors read and approved the final manuscript.</w:t>
      </w:r>
    </w:p>
    <w:p w14:paraId="1F0EB141" w14:textId="77777777" w:rsidR="00D65E16" w:rsidRPr="00BF78E5" w:rsidRDefault="00D65E16" w:rsidP="00D65E16">
      <w:pPr>
        <w:bidi w:val="0"/>
        <w:rPr>
          <w:b/>
          <w:bCs/>
          <w:color w:val="auto"/>
          <w:sz w:val="28"/>
          <w:szCs w:val="28"/>
        </w:rPr>
      </w:pPr>
      <w:r w:rsidRPr="00BF78E5">
        <w:rPr>
          <w:b/>
          <w:bCs/>
          <w:color w:val="auto"/>
          <w:sz w:val="28"/>
          <w:szCs w:val="28"/>
        </w:rPr>
        <w:t>Acknowledgments</w:t>
      </w:r>
    </w:p>
    <w:p w14:paraId="02F561D6" w14:textId="77777777" w:rsidR="00522324" w:rsidRPr="00BF78E5" w:rsidRDefault="00D65E16" w:rsidP="00522324">
      <w:pPr>
        <w:bidi w:val="0"/>
        <w:rPr>
          <w:b/>
          <w:bCs/>
          <w:color w:val="auto"/>
          <w:sz w:val="24"/>
          <w:szCs w:val="24"/>
        </w:rPr>
      </w:pPr>
      <w:r w:rsidRPr="00BF78E5">
        <w:rPr>
          <w:b/>
          <w:bCs/>
          <w:color w:val="auto"/>
          <w:sz w:val="24"/>
          <w:szCs w:val="24"/>
        </w:rPr>
        <w:t>The preparation of this manuscript was supported by artificial intelligence tools. Grammar, spelling, style, punctuation, and overall language polishing were performed using Grammarly Premium with a fully licensed and legally obtained subscription. No artificial intelligence was used for scientific content generation, experimental design, data analysis, benchmarking, or interpretation of results. All scientific decisions and technical content remain the sole responsibility of the authors.</w:t>
      </w:r>
      <w:r w:rsidR="00E934CE" w:rsidRPr="00BF78E5">
        <w:rPr>
          <w:b/>
          <w:bCs/>
          <w:color w:val="auto"/>
          <w:sz w:val="24"/>
          <w:szCs w:val="24"/>
        </w:rPr>
        <w:br/>
      </w:r>
    </w:p>
    <w:p w14:paraId="1AB6F0C3" w14:textId="77777777" w:rsidR="00522324" w:rsidRPr="00133AAB" w:rsidRDefault="00522324" w:rsidP="00522324">
      <w:pPr>
        <w:bidi w:val="0"/>
        <w:rPr>
          <w:b/>
          <w:bCs/>
          <w:color w:val="auto"/>
          <w:sz w:val="28"/>
          <w:szCs w:val="28"/>
        </w:rPr>
      </w:pPr>
      <w:r w:rsidRPr="00133AAB">
        <w:rPr>
          <w:b/>
          <w:bCs/>
          <w:color w:val="auto"/>
          <w:sz w:val="28"/>
          <w:szCs w:val="28"/>
        </w:rPr>
        <w:t>References :</w:t>
      </w:r>
    </w:p>
    <w:p w14:paraId="773F2E26" w14:textId="77777777" w:rsidR="00522324" w:rsidRPr="006D4A6D" w:rsidRDefault="00522324" w:rsidP="00522324">
      <w:pPr>
        <w:numPr>
          <w:ilvl w:val="0"/>
          <w:numId w:val="4"/>
        </w:numPr>
        <w:bidi w:val="0"/>
        <w:rPr>
          <w:b/>
          <w:bCs/>
          <w:color w:val="auto"/>
          <w:sz w:val="24"/>
          <w:szCs w:val="24"/>
        </w:rPr>
      </w:pPr>
      <w:r w:rsidRPr="00FF38D1">
        <w:rPr>
          <w:b/>
          <w:bCs/>
          <w:color w:val="auto"/>
          <w:sz w:val="24"/>
          <w:szCs w:val="24"/>
        </w:rPr>
        <w:t>Weinstein JN, et al. The Cancer Genome Atlas Pan-Cancer analysis project. Nat Genet. 2013;45(10):1113–1120.</w:t>
      </w:r>
      <w:r>
        <w:rPr>
          <w:rFonts w:hint="cs"/>
          <w:b/>
          <w:bCs/>
          <w:color w:val="auto"/>
          <w:sz w:val="24"/>
          <w:szCs w:val="24"/>
          <w:rtl/>
        </w:rPr>
        <w:t xml:space="preserve">  </w:t>
      </w:r>
      <w:r>
        <w:rPr>
          <w:b/>
          <w:bCs/>
          <w:color w:val="auto"/>
          <w:sz w:val="24"/>
          <w:szCs w:val="24"/>
        </w:rPr>
        <w:t>DOI</w:t>
      </w:r>
      <w:r w:rsidRPr="006D4A6D">
        <w:rPr>
          <w:b/>
          <w:bCs/>
          <w:color w:val="auto"/>
          <w:sz w:val="24"/>
          <w:szCs w:val="24"/>
        </w:rPr>
        <w:t>: 10.1038/ng.2764.</w:t>
      </w:r>
    </w:p>
    <w:p w14:paraId="4DDA5952" w14:textId="77777777" w:rsidR="00522324" w:rsidRDefault="00522324" w:rsidP="00522324">
      <w:pPr>
        <w:numPr>
          <w:ilvl w:val="0"/>
          <w:numId w:val="4"/>
        </w:numPr>
        <w:bidi w:val="0"/>
        <w:rPr>
          <w:b/>
          <w:bCs/>
          <w:color w:val="auto"/>
          <w:sz w:val="24"/>
          <w:szCs w:val="24"/>
        </w:rPr>
      </w:pPr>
      <w:r w:rsidRPr="00FF38D1">
        <w:rPr>
          <w:b/>
          <w:bCs/>
          <w:color w:val="auto"/>
          <w:sz w:val="24"/>
          <w:szCs w:val="24"/>
        </w:rPr>
        <w:t>Liu J, et al. An integrated TCGA pan-cancer clinical data resource to drive high-quality survival outcome analytics. Cell. 2018;173(2):400–416.</w:t>
      </w:r>
      <w:r>
        <w:rPr>
          <w:rFonts w:hint="cs"/>
          <w:b/>
          <w:bCs/>
          <w:color w:val="auto"/>
          <w:sz w:val="24"/>
          <w:szCs w:val="24"/>
          <w:rtl/>
        </w:rPr>
        <w:t xml:space="preserve"> </w:t>
      </w:r>
      <w:r>
        <w:rPr>
          <w:b/>
          <w:bCs/>
          <w:color w:val="auto"/>
          <w:sz w:val="24"/>
          <w:szCs w:val="24"/>
        </w:rPr>
        <w:t>DOI</w:t>
      </w:r>
      <w:r w:rsidRPr="006D4A6D">
        <w:rPr>
          <w:b/>
          <w:bCs/>
          <w:color w:val="auto"/>
          <w:sz w:val="24"/>
          <w:szCs w:val="24"/>
        </w:rPr>
        <w:t>: 10.1016/j.cell.2018.02.052.</w:t>
      </w:r>
    </w:p>
    <w:p w14:paraId="4CA17FD2" w14:textId="77777777" w:rsidR="00522324" w:rsidRPr="00022F19" w:rsidRDefault="00522324" w:rsidP="00522324">
      <w:pPr>
        <w:numPr>
          <w:ilvl w:val="0"/>
          <w:numId w:val="4"/>
        </w:numPr>
        <w:bidi w:val="0"/>
        <w:rPr>
          <w:b/>
          <w:bCs/>
          <w:color w:val="auto"/>
          <w:sz w:val="24"/>
          <w:szCs w:val="24"/>
        </w:rPr>
      </w:pPr>
      <w:r w:rsidRPr="00FF38D1">
        <w:rPr>
          <w:b/>
          <w:bCs/>
          <w:color w:val="auto"/>
          <w:sz w:val="24"/>
          <w:szCs w:val="24"/>
        </w:rPr>
        <w:t xml:space="preserve">Genomic Data Commons (GDC). </w:t>
      </w:r>
      <w:hyperlink r:id="rId12" w:history="1">
        <w:r w:rsidRPr="006D4A6D">
          <w:rPr>
            <w:b/>
            <w:bCs/>
            <w:color w:val="auto"/>
            <w:sz w:val="24"/>
            <w:szCs w:val="24"/>
          </w:rPr>
          <w:t>https://gdc.cancer.gov</w:t>
        </w:r>
      </w:hyperlink>
    </w:p>
    <w:p w14:paraId="6AB17DBE" w14:textId="77777777" w:rsidR="00522324" w:rsidRPr="006D4A6D" w:rsidRDefault="00522324" w:rsidP="00522324">
      <w:pPr>
        <w:numPr>
          <w:ilvl w:val="0"/>
          <w:numId w:val="4"/>
        </w:numPr>
        <w:bidi w:val="0"/>
        <w:rPr>
          <w:b/>
          <w:bCs/>
          <w:color w:val="auto"/>
          <w:sz w:val="24"/>
          <w:szCs w:val="24"/>
        </w:rPr>
      </w:pPr>
      <w:r w:rsidRPr="00FF0D5D">
        <w:rPr>
          <w:b/>
          <w:bCs/>
          <w:color w:val="000000" w:themeColor="text1"/>
          <w:sz w:val="24"/>
          <w:szCs w:val="24"/>
        </w:rPr>
        <w:t xml:space="preserve">Tomczak K, </w:t>
      </w:r>
      <w:proofErr w:type="spellStart"/>
      <w:r w:rsidRPr="00FF0D5D">
        <w:rPr>
          <w:b/>
          <w:bCs/>
          <w:color w:val="000000" w:themeColor="text1"/>
          <w:sz w:val="24"/>
          <w:szCs w:val="24"/>
        </w:rPr>
        <w:t>Czerwińska</w:t>
      </w:r>
      <w:proofErr w:type="spellEnd"/>
      <w:r w:rsidRPr="00FF0D5D">
        <w:rPr>
          <w:b/>
          <w:bCs/>
          <w:color w:val="000000" w:themeColor="text1"/>
          <w:sz w:val="24"/>
          <w:szCs w:val="24"/>
        </w:rPr>
        <w:t xml:space="preserve"> P, </w:t>
      </w:r>
      <w:proofErr w:type="spellStart"/>
      <w:r w:rsidRPr="00FF0D5D">
        <w:rPr>
          <w:b/>
          <w:bCs/>
          <w:color w:val="000000" w:themeColor="text1"/>
          <w:sz w:val="24"/>
          <w:szCs w:val="24"/>
        </w:rPr>
        <w:t>Wiznerowicz</w:t>
      </w:r>
      <w:proofErr w:type="spellEnd"/>
      <w:r w:rsidRPr="00FF0D5D">
        <w:rPr>
          <w:b/>
          <w:bCs/>
          <w:color w:val="000000" w:themeColor="text1"/>
          <w:sz w:val="24"/>
          <w:szCs w:val="24"/>
        </w:rPr>
        <w:t xml:space="preserve"> M. The Cancer Genome Atlas (TCGA): an immeasurable </w:t>
      </w:r>
      <w:r w:rsidRPr="006D4A6D">
        <w:rPr>
          <w:b/>
          <w:bCs/>
          <w:color w:val="auto"/>
          <w:sz w:val="24"/>
          <w:szCs w:val="24"/>
        </w:rPr>
        <w:t xml:space="preserve">source of knowledge. </w:t>
      </w:r>
      <w:proofErr w:type="spellStart"/>
      <w:r w:rsidRPr="006D4A6D">
        <w:rPr>
          <w:b/>
          <w:bCs/>
          <w:color w:val="auto"/>
          <w:sz w:val="24"/>
          <w:szCs w:val="24"/>
        </w:rPr>
        <w:t>Contemp</w:t>
      </w:r>
      <w:proofErr w:type="spellEnd"/>
      <w:r w:rsidRPr="006D4A6D">
        <w:rPr>
          <w:b/>
          <w:bCs/>
          <w:color w:val="auto"/>
          <w:sz w:val="24"/>
          <w:szCs w:val="24"/>
        </w:rPr>
        <w:t xml:space="preserve"> Oncol (</w:t>
      </w:r>
      <w:proofErr w:type="spellStart"/>
      <w:r w:rsidRPr="006D4A6D">
        <w:rPr>
          <w:b/>
          <w:bCs/>
          <w:color w:val="auto"/>
          <w:sz w:val="24"/>
          <w:szCs w:val="24"/>
        </w:rPr>
        <w:t>Pozn</w:t>
      </w:r>
      <w:proofErr w:type="spellEnd"/>
      <w:r w:rsidRPr="006D4A6D">
        <w:rPr>
          <w:b/>
          <w:bCs/>
          <w:color w:val="auto"/>
          <w:sz w:val="24"/>
          <w:szCs w:val="24"/>
        </w:rPr>
        <w:t>). 2015;19(1A):A68-A77. D</w:t>
      </w:r>
      <w:r>
        <w:rPr>
          <w:b/>
          <w:bCs/>
          <w:color w:val="auto"/>
          <w:sz w:val="24"/>
          <w:szCs w:val="24"/>
        </w:rPr>
        <w:t>OI:</w:t>
      </w:r>
      <w:r w:rsidRPr="006D4A6D">
        <w:rPr>
          <w:b/>
          <w:bCs/>
          <w:color w:val="auto"/>
          <w:sz w:val="24"/>
          <w:szCs w:val="24"/>
        </w:rPr>
        <w:t xml:space="preserve"> 10.5114/wo.2014.47136.</w:t>
      </w:r>
    </w:p>
    <w:p w14:paraId="3631D5CA" w14:textId="77777777" w:rsidR="00522324" w:rsidRPr="00A51A69" w:rsidRDefault="00522324" w:rsidP="00522324">
      <w:pPr>
        <w:numPr>
          <w:ilvl w:val="0"/>
          <w:numId w:val="4"/>
        </w:numPr>
        <w:bidi w:val="0"/>
        <w:rPr>
          <w:b/>
          <w:bCs/>
          <w:color w:val="auto"/>
          <w:sz w:val="24"/>
          <w:szCs w:val="24"/>
        </w:rPr>
      </w:pPr>
      <w:r w:rsidRPr="00A51A69">
        <w:rPr>
          <w:b/>
          <w:bCs/>
          <w:color w:val="auto"/>
          <w:sz w:val="24"/>
          <w:szCs w:val="24"/>
        </w:rPr>
        <w:t xml:space="preserve">Hutter C, </w:t>
      </w:r>
      <w:proofErr w:type="spellStart"/>
      <w:r w:rsidRPr="00A51A69">
        <w:rPr>
          <w:b/>
          <w:bCs/>
          <w:color w:val="auto"/>
          <w:sz w:val="24"/>
          <w:szCs w:val="24"/>
        </w:rPr>
        <w:t>Zenklusen</w:t>
      </w:r>
      <w:proofErr w:type="spellEnd"/>
      <w:r w:rsidRPr="00A51A69">
        <w:rPr>
          <w:b/>
          <w:bCs/>
          <w:color w:val="auto"/>
          <w:sz w:val="24"/>
          <w:szCs w:val="24"/>
        </w:rPr>
        <w:t xml:space="preserve"> JC. The Cancer Genome Atlas: Creating Lasting Value beyond Its Data. Cell. 2018;173(2):283-285. DOI:10.1016/j.cell.2018.03.042.</w:t>
      </w:r>
    </w:p>
    <w:p w14:paraId="30E37236" w14:textId="77777777" w:rsidR="00522324" w:rsidRPr="00C30BAF" w:rsidRDefault="00522324" w:rsidP="00522324">
      <w:pPr>
        <w:numPr>
          <w:ilvl w:val="0"/>
          <w:numId w:val="4"/>
        </w:numPr>
        <w:bidi w:val="0"/>
        <w:rPr>
          <w:b/>
          <w:bCs/>
          <w:color w:val="auto"/>
          <w:sz w:val="24"/>
          <w:szCs w:val="24"/>
        </w:rPr>
      </w:pPr>
      <w:r w:rsidRPr="00C30BAF">
        <w:rPr>
          <w:b/>
          <w:bCs/>
          <w:color w:val="auto"/>
          <w:sz w:val="24"/>
          <w:szCs w:val="24"/>
        </w:rPr>
        <w:t>Jensen MA, et al. The NCI Genomic Data Commons as an engine for precision medicine. Blood. 2017;130(4):453-459. DOI:10.1182/blood-2017-03-735654.</w:t>
      </w:r>
    </w:p>
    <w:p w14:paraId="20A15491" w14:textId="77777777" w:rsidR="00522324" w:rsidRPr="00A51A69" w:rsidRDefault="00522324" w:rsidP="00522324">
      <w:pPr>
        <w:numPr>
          <w:ilvl w:val="0"/>
          <w:numId w:val="4"/>
        </w:numPr>
        <w:bidi w:val="0"/>
        <w:rPr>
          <w:b/>
          <w:bCs/>
          <w:color w:val="auto"/>
          <w:sz w:val="24"/>
          <w:szCs w:val="24"/>
        </w:rPr>
      </w:pPr>
      <w:r w:rsidRPr="00A51A69">
        <w:rPr>
          <w:b/>
          <w:bCs/>
          <w:color w:val="auto"/>
          <w:sz w:val="24"/>
          <w:szCs w:val="24"/>
        </w:rPr>
        <w:lastRenderedPageBreak/>
        <w:t xml:space="preserve">Chandran UR, et al. TCGA Expedition: A Data Acquisition and Management System for TCGA Data. </w:t>
      </w:r>
      <w:proofErr w:type="spellStart"/>
      <w:r w:rsidRPr="00A51A69">
        <w:rPr>
          <w:b/>
          <w:bCs/>
          <w:color w:val="auto"/>
          <w:sz w:val="24"/>
          <w:szCs w:val="24"/>
        </w:rPr>
        <w:t>PLoS</w:t>
      </w:r>
      <w:proofErr w:type="spellEnd"/>
      <w:r w:rsidRPr="00A51A69">
        <w:rPr>
          <w:b/>
          <w:bCs/>
          <w:color w:val="auto"/>
          <w:sz w:val="24"/>
          <w:szCs w:val="24"/>
        </w:rPr>
        <w:t xml:space="preserve"> One. 2016;11(10):e0165395. DOI:10.1371/journal.pone.0165395.</w:t>
      </w:r>
    </w:p>
    <w:p w14:paraId="6835F512" w14:textId="77777777" w:rsidR="00522324" w:rsidRPr="00A51A69" w:rsidRDefault="00522324" w:rsidP="00522324">
      <w:pPr>
        <w:numPr>
          <w:ilvl w:val="0"/>
          <w:numId w:val="4"/>
        </w:numPr>
        <w:bidi w:val="0"/>
        <w:rPr>
          <w:b/>
          <w:bCs/>
          <w:color w:val="auto"/>
          <w:sz w:val="24"/>
          <w:szCs w:val="24"/>
        </w:rPr>
      </w:pPr>
      <w:proofErr w:type="spellStart"/>
      <w:r w:rsidRPr="00A51A69">
        <w:rPr>
          <w:b/>
          <w:bCs/>
          <w:color w:val="auto"/>
          <w:sz w:val="24"/>
          <w:szCs w:val="24"/>
        </w:rPr>
        <w:t>Samur</w:t>
      </w:r>
      <w:proofErr w:type="spellEnd"/>
      <w:r w:rsidRPr="00A51A69">
        <w:rPr>
          <w:b/>
          <w:bCs/>
          <w:color w:val="auto"/>
          <w:sz w:val="24"/>
          <w:szCs w:val="24"/>
        </w:rPr>
        <w:t xml:space="preserve"> MK. </w:t>
      </w:r>
      <w:proofErr w:type="spellStart"/>
      <w:r w:rsidRPr="00A51A69">
        <w:rPr>
          <w:b/>
          <w:bCs/>
          <w:color w:val="auto"/>
          <w:sz w:val="24"/>
          <w:szCs w:val="24"/>
        </w:rPr>
        <w:t>RTCGAToolbox</w:t>
      </w:r>
      <w:proofErr w:type="spellEnd"/>
      <w:r w:rsidRPr="00A51A69">
        <w:rPr>
          <w:b/>
          <w:bCs/>
          <w:color w:val="auto"/>
          <w:sz w:val="24"/>
          <w:szCs w:val="24"/>
        </w:rPr>
        <w:t xml:space="preserve">: A New Tool for Exporting TCGA Firehose Data. </w:t>
      </w:r>
      <w:proofErr w:type="spellStart"/>
      <w:r w:rsidRPr="00A51A69">
        <w:rPr>
          <w:b/>
          <w:bCs/>
          <w:color w:val="auto"/>
          <w:sz w:val="24"/>
          <w:szCs w:val="24"/>
        </w:rPr>
        <w:t>PLoS</w:t>
      </w:r>
      <w:proofErr w:type="spellEnd"/>
      <w:r w:rsidRPr="00A51A69">
        <w:rPr>
          <w:b/>
          <w:bCs/>
          <w:color w:val="auto"/>
          <w:sz w:val="24"/>
          <w:szCs w:val="24"/>
        </w:rPr>
        <w:t xml:space="preserve"> One. 2014;9(9):e106397. DOI:10.1371/journal.pone.0106397.</w:t>
      </w:r>
    </w:p>
    <w:p w14:paraId="7907AECB" w14:textId="77777777" w:rsidR="00522324" w:rsidRPr="000E6C62" w:rsidRDefault="00522324" w:rsidP="00522324">
      <w:pPr>
        <w:numPr>
          <w:ilvl w:val="0"/>
          <w:numId w:val="4"/>
        </w:numPr>
        <w:bidi w:val="0"/>
        <w:rPr>
          <w:b/>
          <w:bCs/>
          <w:color w:val="auto"/>
          <w:sz w:val="24"/>
          <w:szCs w:val="24"/>
        </w:rPr>
      </w:pPr>
      <w:r w:rsidRPr="000E6C62">
        <w:rPr>
          <w:b/>
          <w:bCs/>
          <w:color w:val="auto"/>
          <w:sz w:val="24"/>
          <w:szCs w:val="24"/>
        </w:rPr>
        <w:t>Wei L, et al. TCGA-assembler 2: software pipeline for retrieval and processing of TCGA/CPTAC data. Bioinformatics. 2018;34(9):1615-1617. DOI:10.1093/bioinformatics/btx812.</w:t>
      </w:r>
    </w:p>
    <w:p w14:paraId="36C99A3B" w14:textId="77777777" w:rsidR="00522324" w:rsidRDefault="00522324" w:rsidP="00522324">
      <w:pPr>
        <w:numPr>
          <w:ilvl w:val="0"/>
          <w:numId w:val="4"/>
        </w:numPr>
        <w:bidi w:val="0"/>
        <w:rPr>
          <w:b/>
          <w:bCs/>
          <w:color w:val="auto"/>
          <w:sz w:val="24"/>
          <w:szCs w:val="24"/>
        </w:rPr>
      </w:pPr>
      <w:r w:rsidRPr="000E6C62">
        <w:rPr>
          <w:b/>
          <w:bCs/>
          <w:color w:val="auto"/>
          <w:sz w:val="24"/>
          <w:szCs w:val="24"/>
        </w:rPr>
        <w:t xml:space="preserve">Baumann AA, et al. </w:t>
      </w:r>
      <w:proofErr w:type="spellStart"/>
      <w:r w:rsidRPr="000E6C62">
        <w:rPr>
          <w:b/>
          <w:bCs/>
          <w:color w:val="auto"/>
          <w:sz w:val="24"/>
          <w:szCs w:val="24"/>
        </w:rPr>
        <w:t>TCGADownloadHelper</w:t>
      </w:r>
      <w:proofErr w:type="spellEnd"/>
      <w:r w:rsidRPr="000E6C62">
        <w:rPr>
          <w:b/>
          <w:bCs/>
          <w:color w:val="auto"/>
          <w:sz w:val="24"/>
          <w:szCs w:val="24"/>
        </w:rPr>
        <w:t>: simplifying TCGA data extraction and preprocessing. Front Genet. 2025;16:1569290. DOI:10.3389/fgene.2025.1569290.</w:t>
      </w:r>
    </w:p>
    <w:p w14:paraId="6F2EA644" w14:textId="77777777" w:rsidR="00522324" w:rsidRPr="00022F19" w:rsidRDefault="00522324" w:rsidP="00522324">
      <w:pPr>
        <w:numPr>
          <w:ilvl w:val="0"/>
          <w:numId w:val="4"/>
        </w:numPr>
        <w:bidi w:val="0"/>
        <w:rPr>
          <w:b/>
          <w:bCs/>
          <w:color w:val="auto"/>
          <w:sz w:val="24"/>
          <w:szCs w:val="24"/>
        </w:rPr>
      </w:pPr>
      <w:r w:rsidRPr="00C30BAF">
        <w:rPr>
          <w:b/>
          <w:bCs/>
          <w:color w:val="auto"/>
          <w:sz w:val="24"/>
          <w:szCs w:val="24"/>
        </w:rPr>
        <w:t>Cantini L, et al. Benchmarking joint multi-omics dimensionality reduction approaches for the study of cancer. Nat Commun. 2021;12(1):124. DOI:10.1038/s41467-020-20430-7.</w:t>
      </w:r>
    </w:p>
    <w:p w14:paraId="6BAD80ED" w14:textId="77777777" w:rsidR="00522324" w:rsidRPr="006D4A6D" w:rsidRDefault="00522324" w:rsidP="00522324">
      <w:pPr>
        <w:numPr>
          <w:ilvl w:val="0"/>
          <w:numId w:val="4"/>
        </w:numPr>
        <w:bidi w:val="0"/>
        <w:rPr>
          <w:b/>
          <w:bCs/>
          <w:color w:val="auto"/>
          <w:sz w:val="24"/>
          <w:szCs w:val="24"/>
        </w:rPr>
      </w:pPr>
      <w:proofErr w:type="spellStart"/>
      <w:r w:rsidRPr="00FF38D1">
        <w:rPr>
          <w:b/>
          <w:bCs/>
          <w:color w:val="auto"/>
          <w:sz w:val="24"/>
          <w:szCs w:val="24"/>
        </w:rPr>
        <w:t>Colaprico</w:t>
      </w:r>
      <w:proofErr w:type="spellEnd"/>
      <w:r w:rsidRPr="00FF38D1">
        <w:rPr>
          <w:b/>
          <w:bCs/>
          <w:color w:val="auto"/>
          <w:sz w:val="24"/>
          <w:szCs w:val="24"/>
        </w:rPr>
        <w:t xml:space="preserve"> A, et al. </w:t>
      </w:r>
      <w:proofErr w:type="spellStart"/>
      <w:r w:rsidRPr="00FF38D1">
        <w:rPr>
          <w:b/>
          <w:bCs/>
          <w:color w:val="auto"/>
          <w:sz w:val="24"/>
          <w:szCs w:val="24"/>
        </w:rPr>
        <w:t>TCGAbiolinks</w:t>
      </w:r>
      <w:proofErr w:type="spellEnd"/>
      <w:r w:rsidRPr="00FF38D1">
        <w:rPr>
          <w:b/>
          <w:bCs/>
          <w:color w:val="auto"/>
          <w:sz w:val="24"/>
          <w:szCs w:val="24"/>
        </w:rPr>
        <w:t>: an R/Bioconductor package for integrative analysis of TCGA data. Nucleic Acids Res. 2016;44(8):e71.</w:t>
      </w:r>
      <w:r w:rsidRPr="006D4A6D">
        <w:rPr>
          <w:b/>
          <w:bCs/>
          <w:color w:val="auto"/>
          <w:sz w:val="24"/>
          <w:szCs w:val="24"/>
        </w:rPr>
        <w:t xml:space="preserve"> </w:t>
      </w:r>
      <w:r>
        <w:rPr>
          <w:b/>
          <w:bCs/>
          <w:color w:val="auto"/>
          <w:sz w:val="24"/>
          <w:szCs w:val="24"/>
        </w:rPr>
        <w:t>DOI</w:t>
      </w:r>
      <w:r w:rsidRPr="006D4A6D">
        <w:rPr>
          <w:b/>
          <w:bCs/>
          <w:color w:val="auto"/>
          <w:sz w:val="24"/>
          <w:szCs w:val="24"/>
        </w:rPr>
        <w:t>: 10.1093/</w:t>
      </w:r>
      <w:proofErr w:type="spellStart"/>
      <w:r w:rsidRPr="006D4A6D">
        <w:rPr>
          <w:b/>
          <w:bCs/>
          <w:color w:val="auto"/>
          <w:sz w:val="24"/>
          <w:szCs w:val="24"/>
        </w:rPr>
        <w:t>nar</w:t>
      </w:r>
      <w:proofErr w:type="spellEnd"/>
      <w:r w:rsidRPr="006D4A6D">
        <w:rPr>
          <w:b/>
          <w:bCs/>
          <w:color w:val="auto"/>
          <w:sz w:val="24"/>
          <w:szCs w:val="24"/>
        </w:rPr>
        <w:t>/gkv1507.</w:t>
      </w:r>
    </w:p>
    <w:p w14:paraId="7A37F89C" w14:textId="77777777" w:rsidR="00522324" w:rsidRPr="00BD786F" w:rsidRDefault="00522324" w:rsidP="00522324">
      <w:pPr>
        <w:numPr>
          <w:ilvl w:val="0"/>
          <w:numId w:val="4"/>
        </w:numPr>
        <w:bidi w:val="0"/>
        <w:rPr>
          <w:b/>
          <w:bCs/>
          <w:color w:val="auto"/>
          <w:sz w:val="24"/>
          <w:szCs w:val="24"/>
        </w:rPr>
      </w:pPr>
      <w:r w:rsidRPr="00FF38D1">
        <w:rPr>
          <w:b/>
          <w:bCs/>
          <w:color w:val="auto"/>
          <w:sz w:val="24"/>
          <w:szCs w:val="24"/>
        </w:rPr>
        <w:t xml:space="preserve">Cerami E, et al. </w:t>
      </w:r>
      <w:proofErr w:type="spellStart"/>
      <w:r w:rsidRPr="00FF38D1">
        <w:rPr>
          <w:b/>
          <w:bCs/>
          <w:color w:val="auto"/>
          <w:sz w:val="24"/>
          <w:szCs w:val="24"/>
        </w:rPr>
        <w:t>cBioPortal</w:t>
      </w:r>
      <w:proofErr w:type="spellEnd"/>
      <w:r w:rsidRPr="00FF38D1">
        <w:rPr>
          <w:b/>
          <w:bCs/>
          <w:color w:val="auto"/>
          <w:sz w:val="24"/>
          <w:szCs w:val="24"/>
        </w:rPr>
        <w:t xml:space="preserve"> for cancer genomics. Cancer </w:t>
      </w:r>
      <w:proofErr w:type="spellStart"/>
      <w:r w:rsidRPr="00FF38D1">
        <w:rPr>
          <w:b/>
          <w:bCs/>
          <w:color w:val="auto"/>
          <w:sz w:val="24"/>
          <w:szCs w:val="24"/>
        </w:rPr>
        <w:t>Discov</w:t>
      </w:r>
      <w:proofErr w:type="spellEnd"/>
      <w:r w:rsidRPr="00FF38D1">
        <w:rPr>
          <w:b/>
          <w:bCs/>
          <w:color w:val="auto"/>
          <w:sz w:val="24"/>
          <w:szCs w:val="24"/>
        </w:rPr>
        <w:t>. 2012;2(5):401–404.</w:t>
      </w:r>
      <w:r w:rsidRPr="00BD786F">
        <w:rPr>
          <w:b/>
          <w:bCs/>
          <w:color w:val="auto"/>
          <w:sz w:val="24"/>
          <w:szCs w:val="24"/>
        </w:rPr>
        <w:t xml:space="preserve"> </w:t>
      </w:r>
      <w:r>
        <w:rPr>
          <w:b/>
          <w:bCs/>
          <w:color w:val="auto"/>
          <w:sz w:val="24"/>
          <w:szCs w:val="24"/>
        </w:rPr>
        <w:t>DOI</w:t>
      </w:r>
      <w:r w:rsidRPr="00BD786F">
        <w:rPr>
          <w:b/>
          <w:bCs/>
          <w:color w:val="auto"/>
          <w:sz w:val="24"/>
          <w:szCs w:val="24"/>
        </w:rPr>
        <w:t>: 10.1158/2159-8290.CD-12-0095.</w:t>
      </w:r>
    </w:p>
    <w:p w14:paraId="504963E5" w14:textId="77777777" w:rsidR="00522324" w:rsidRPr="00FF0D5D" w:rsidRDefault="00522324" w:rsidP="00522324">
      <w:pPr>
        <w:numPr>
          <w:ilvl w:val="0"/>
          <w:numId w:val="4"/>
        </w:numPr>
        <w:bidi w:val="0"/>
        <w:rPr>
          <w:b/>
          <w:bCs/>
          <w:color w:val="000000" w:themeColor="text1"/>
          <w:sz w:val="24"/>
          <w:szCs w:val="24"/>
        </w:rPr>
      </w:pPr>
      <w:r w:rsidRPr="00FF38D1">
        <w:rPr>
          <w:b/>
          <w:bCs/>
          <w:color w:val="auto"/>
          <w:sz w:val="24"/>
          <w:szCs w:val="24"/>
        </w:rPr>
        <w:t xml:space="preserve">Goldman MJ, et al. Visualizing and interpreting cancer genomics data via the UCSC Xena platform. Nat </w:t>
      </w:r>
      <w:proofErr w:type="spellStart"/>
      <w:r w:rsidRPr="00FF38D1">
        <w:rPr>
          <w:b/>
          <w:bCs/>
          <w:color w:val="auto"/>
          <w:sz w:val="24"/>
          <w:szCs w:val="24"/>
        </w:rPr>
        <w:t>Biotechnol</w:t>
      </w:r>
      <w:proofErr w:type="spellEnd"/>
      <w:r w:rsidRPr="00FF38D1">
        <w:rPr>
          <w:b/>
          <w:bCs/>
          <w:color w:val="auto"/>
          <w:sz w:val="24"/>
          <w:szCs w:val="24"/>
        </w:rPr>
        <w:t>. 2020;38:675–678.</w:t>
      </w:r>
      <w:r>
        <w:rPr>
          <w:b/>
          <w:bCs/>
          <w:color w:val="auto"/>
          <w:sz w:val="24"/>
          <w:szCs w:val="24"/>
        </w:rPr>
        <w:t xml:space="preserve"> DOI</w:t>
      </w:r>
      <w:r w:rsidRPr="00BD786F">
        <w:rPr>
          <w:b/>
          <w:bCs/>
          <w:color w:val="auto"/>
          <w:sz w:val="24"/>
          <w:szCs w:val="24"/>
        </w:rPr>
        <w:t>: 10.1038/s41587-</w:t>
      </w:r>
      <w:r w:rsidRPr="00FF0D5D">
        <w:rPr>
          <w:b/>
          <w:bCs/>
          <w:color w:val="000000" w:themeColor="text1"/>
          <w:sz w:val="24"/>
          <w:szCs w:val="24"/>
        </w:rPr>
        <w:t>020-0546-8.</w:t>
      </w:r>
    </w:p>
    <w:p w14:paraId="2A8A1F56" w14:textId="77777777" w:rsidR="00522324" w:rsidRPr="000E6C62" w:rsidRDefault="00522324" w:rsidP="00522324">
      <w:pPr>
        <w:numPr>
          <w:ilvl w:val="0"/>
          <w:numId w:val="4"/>
        </w:numPr>
        <w:bidi w:val="0"/>
        <w:rPr>
          <w:b/>
          <w:bCs/>
          <w:color w:val="auto"/>
          <w:sz w:val="24"/>
          <w:szCs w:val="24"/>
        </w:rPr>
      </w:pPr>
      <w:r w:rsidRPr="000E6C62">
        <w:rPr>
          <w:b/>
          <w:bCs/>
          <w:color w:val="auto"/>
          <w:sz w:val="24"/>
          <w:szCs w:val="24"/>
        </w:rPr>
        <w:t xml:space="preserve">Zengin, T.; Masud, B.A.; </w:t>
      </w:r>
      <w:proofErr w:type="spellStart"/>
      <w:r w:rsidRPr="000E6C62">
        <w:rPr>
          <w:b/>
          <w:bCs/>
          <w:color w:val="auto"/>
          <w:sz w:val="24"/>
          <w:szCs w:val="24"/>
        </w:rPr>
        <w:t>Önal-Süzek</w:t>
      </w:r>
      <w:proofErr w:type="spellEnd"/>
      <w:r w:rsidRPr="000E6C62">
        <w:rPr>
          <w:b/>
          <w:bCs/>
          <w:color w:val="auto"/>
          <w:sz w:val="24"/>
          <w:szCs w:val="24"/>
        </w:rPr>
        <w:t xml:space="preserve">, T. </w:t>
      </w:r>
      <w:proofErr w:type="spellStart"/>
      <w:r w:rsidRPr="000E6C62">
        <w:rPr>
          <w:b/>
          <w:bCs/>
          <w:color w:val="auto"/>
          <w:sz w:val="24"/>
          <w:szCs w:val="24"/>
        </w:rPr>
        <w:t>TCGAnalyzeR</w:t>
      </w:r>
      <w:proofErr w:type="spellEnd"/>
      <w:r w:rsidRPr="000E6C62">
        <w:rPr>
          <w:b/>
          <w:bCs/>
          <w:color w:val="auto"/>
          <w:sz w:val="24"/>
          <w:szCs w:val="24"/>
        </w:rPr>
        <w:t>: An Online Pan-Cancer Tool for Integrative Visualization of Molecular and Clinical Data of Cancer Patients for Cohort and Associated Gene Discovery. Cancers. 2024;16(2):345. DOI:10.3390/cancers16020345.</w:t>
      </w:r>
    </w:p>
    <w:p w14:paraId="0FE0E33D" w14:textId="77777777" w:rsidR="00522324" w:rsidRDefault="00522324" w:rsidP="00522324">
      <w:pPr>
        <w:numPr>
          <w:ilvl w:val="0"/>
          <w:numId w:val="4"/>
        </w:numPr>
        <w:bidi w:val="0"/>
        <w:rPr>
          <w:b/>
          <w:bCs/>
          <w:color w:val="auto"/>
          <w:sz w:val="24"/>
          <w:szCs w:val="24"/>
        </w:rPr>
      </w:pPr>
      <w:r w:rsidRPr="000E6C62">
        <w:rPr>
          <w:b/>
          <w:bCs/>
          <w:color w:val="auto"/>
          <w:sz w:val="24"/>
          <w:szCs w:val="24"/>
        </w:rPr>
        <w:t xml:space="preserve">Liao C, et al. </w:t>
      </w:r>
      <w:proofErr w:type="spellStart"/>
      <w:r w:rsidRPr="000E6C62">
        <w:rPr>
          <w:b/>
          <w:bCs/>
          <w:color w:val="auto"/>
          <w:sz w:val="24"/>
          <w:szCs w:val="24"/>
        </w:rPr>
        <w:t>TCGAplot</w:t>
      </w:r>
      <w:proofErr w:type="spellEnd"/>
      <w:r w:rsidRPr="000E6C62">
        <w:rPr>
          <w:b/>
          <w:bCs/>
          <w:color w:val="auto"/>
          <w:sz w:val="24"/>
          <w:szCs w:val="24"/>
        </w:rPr>
        <w:t xml:space="preserve">: an R package for integrative pan-cancer analysis and visualization of TCGA multi-omics data. BMC </w:t>
      </w:r>
      <w:proofErr w:type="spellStart"/>
      <w:r w:rsidRPr="000E6C62">
        <w:rPr>
          <w:b/>
          <w:bCs/>
          <w:color w:val="auto"/>
          <w:sz w:val="24"/>
          <w:szCs w:val="24"/>
        </w:rPr>
        <w:t>Bioinform</w:t>
      </w:r>
      <w:proofErr w:type="spellEnd"/>
      <w:r w:rsidRPr="000E6C62">
        <w:rPr>
          <w:b/>
          <w:bCs/>
          <w:color w:val="auto"/>
          <w:sz w:val="24"/>
          <w:szCs w:val="24"/>
        </w:rPr>
        <w:t>. 2023;24:483. DOI:10.1186/s12859-023-05615-3.</w:t>
      </w:r>
    </w:p>
    <w:p w14:paraId="417A4917" w14:textId="77777777" w:rsidR="00522324" w:rsidRPr="00A51A69" w:rsidRDefault="00522324" w:rsidP="00522324">
      <w:pPr>
        <w:numPr>
          <w:ilvl w:val="0"/>
          <w:numId w:val="4"/>
        </w:numPr>
        <w:bidi w:val="0"/>
        <w:rPr>
          <w:b/>
          <w:bCs/>
          <w:color w:val="auto"/>
          <w:sz w:val="24"/>
          <w:szCs w:val="24"/>
        </w:rPr>
      </w:pPr>
      <w:r w:rsidRPr="00A51A69">
        <w:rPr>
          <w:b/>
          <w:bCs/>
          <w:color w:val="auto"/>
          <w:sz w:val="24"/>
          <w:szCs w:val="24"/>
        </w:rPr>
        <w:t>Gao GF, et al. Before and After: Comparison of Legacy and Harmonized TCGA Genomic Data Commons' Data. Cell Syst. 2019;9(1):24-34.e10. DOI:10.1016/j.cels.2019.06.00</w:t>
      </w:r>
      <w:r>
        <w:rPr>
          <w:rFonts w:hint="cs"/>
          <w:b/>
          <w:bCs/>
          <w:color w:val="auto"/>
          <w:sz w:val="24"/>
          <w:szCs w:val="24"/>
          <w:rtl/>
        </w:rPr>
        <w:t>6</w:t>
      </w:r>
      <w:r w:rsidRPr="00A51A69">
        <w:rPr>
          <w:b/>
          <w:bCs/>
          <w:color w:val="auto"/>
          <w:sz w:val="24"/>
          <w:szCs w:val="24"/>
        </w:rPr>
        <w:t>.</w:t>
      </w:r>
    </w:p>
    <w:p w14:paraId="0B52DE76" w14:textId="77777777" w:rsidR="00522324" w:rsidRPr="00C30BAF" w:rsidRDefault="00522324" w:rsidP="00522324">
      <w:pPr>
        <w:numPr>
          <w:ilvl w:val="0"/>
          <w:numId w:val="4"/>
        </w:numPr>
        <w:bidi w:val="0"/>
        <w:rPr>
          <w:b/>
          <w:bCs/>
          <w:color w:val="auto"/>
          <w:sz w:val="24"/>
          <w:szCs w:val="24"/>
        </w:rPr>
      </w:pPr>
      <w:r w:rsidRPr="00C30BAF">
        <w:rPr>
          <w:b/>
          <w:bCs/>
          <w:color w:val="auto"/>
          <w:sz w:val="24"/>
          <w:szCs w:val="24"/>
        </w:rPr>
        <w:t xml:space="preserve">Zhang Z, et al. A survey and evaluation of Web-based tools/databases for variant analysis of TCGA data. Brief </w:t>
      </w:r>
      <w:proofErr w:type="spellStart"/>
      <w:r w:rsidRPr="00C30BAF">
        <w:rPr>
          <w:b/>
          <w:bCs/>
          <w:color w:val="auto"/>
          <w:sz w:val="24"/>
          <w:szCs w:val="24"/>
        </w:rPr>
        <w:t>Bioinform</w:t>
      </w:r>
      <w:proofErr w:type="spellEnd"/>
      <w:r w:rsidRPr="00C30BAF">
        <w:rPr>
          <w:b/>
          <w:bCs/>
          <w:color w:val="auto"/>
          <w:sz w:val="24"/>
          <w:szCs w:val="24"/>
        </w:rPr>
        <w:t>. 2019;20(4):1524-1541. DOI:10.1093/bib/bby023.</w:t>
      </w:r>
    </w:p>
    <w:p w14:paraId="052D05F3" w14:textId="77777777" w:rsidR="00522324" w:rsidRPr="000E6C62" w:rsidRDefault="00522324" w:rsidP="00522324">
      <w:pPr>
        <w:numPr>
          <w:ilvl w:val="0"/>
          <w:numId w:val="4"/>
        </w:numPr>
        <w:bidi w:val="0"/>
        <w:rPr>
          <w:b/>
          <w:bCs/>
          <w:color w:val="auto"/>
          <w:sz w:val="24"/>
          <w:szCs w:val="24"/>
        </w:rPr>
      </w:pPr>
      <w:r w:rsidRPr="000E6C62">
        <w:rPr>
          <w:b/>
          <w:bCs/>
          <w:color w:val="auto"/>
          <w:sz w:val="24"/>
          <w:szCs w:val="24"/>
        </w:rPr>
        <w:t>Pepe G, et al. PANDA: PAN Cancer Data Analysis Web Tool. J Mol Biol. 2025;437(15):169158. DOI:10.1016/j.jmb.2025.169158.</w:t>
      </w:r>
    </w:p>
    <w:p w14:paraId="6391F880" w14:textId="0823B46A" w:rsidR="00FD0638" w:rsidRPr="005D7180" w:rsidRDefault="00522324" w:rsidP="005D7180">
      <w:pPr>
        <w:numPr>
          <w:ilvl w:val="0"/>
          <w:numId w:val="4"/>
        </w:numPr>
        <w:bidi w:val="0"/>
        <w:rPr>
          <w:b/>
          <w:bCs/>
          <w:color w:val="auto"/>
          <w:sz w:val="24"/>
          <w:szCs w:val="24"/>
        </w:rPr>
      </w:pPr>
      <w:r w:rsidRPr="000E6C62">
        <w:rPr>
          <w:b/>
          <w:bCs/>
          <w:color w:val="auto"/>
          <w:sz w:val="24"/>
          <w:szCs w:val="24"/>
        </w:rPr>
        <w:t xml:space="preserve">Wolde T, et al. Current Bioinformatics Tools in Precision Oncology. </w:t>
      </w:r>
      <w:proofErr w:type="spellStart"/>
      <w:r w:rsidRPr="000E6C62">
        <w:rPr>
          <w:b/>
          <w:bCs/>
          <w:color w:val="auto"/>
          <w:sz w:val="24"/>
          <w:szCs w:val="24"/>
        </w:rPr>
        <w:t>MedComm</w:t>
      </w:r>
      <w:proofErr w:type="spellEnd"/>
      <w:r w:rsidRPr="000E6C62">
        <w:rPr>
          <w:b/>
          <w:bCs/>
          <w:color w:val="auto"/>
          <w:sz w:val="24"/>
          <w:szCs w:val="24"/>
        </w:rPr>
        <w:t xml:space="preserve"> (2020). 2025;6(7):e70243. DOI:10.1002/mco2.70243.</w:t>
      </w:r>
    </w:p>
    <w:sectPr w:rsidR="00FD0638" w:rsidRPr="005D7180" w:rsidSect="0089629F">
      <w:pgSz w:w="11906" w:h="16838" w:code="9"/>
      <w:pgMar w:top="1440" w:right="1440" w:bottom="1440" w:left="1440" w:header="709" w:footer="709" w:gutter="0"/>
      <w:cols w:space="708"/>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D7B71"/>
    <w:multiLevelType w:val="multilevel"/>
    <w:tmpl w:val="BD84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350A7"/>
    <w:multiLevelType w:val="multilevel"/>
    <w:tmpl w:val="D97A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C716F"/>
    <w:multiLevelType w:val="multilevel"/>
    <w:tmpl w:val="E480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623384"/>
    <w:multiLevelType w:val="multilevel"/>
    <w:tmpl w:val="0B56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0C11F9"/>
    <w:multiLevelType w:val="multilevel"/>
    <w:tmpl w:val="6960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9E0DD2"/>
    <w:multiLevelType w:val="hybridMultilevel"/>
    <w:tmpl w:val="658E5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2A443D"/>
    <w:multiLevelType w:val="multilevel"/>
    <w:tmpl w:val="3B20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81986"/>
    <w:multiLevelType w:val="multilevel"/>
    <w:tmpl w:val="D24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118008">
    <w:abstractNumId w:val="5"/>
  </w:num>
  <w:num w:numId="2" w16cid:durableId="385378838">
    <w:abstractNumId w:val="4"/>
  </w:num>
  <w:num w:numId="3" w16cid:durableId="482044281">
    <w:abstractNumId w:val="0"/>
  </w:num>
  <w:num w:numId="4" w16cid:durableId="835221183">
    <w:abstractNumId w:val="2"/>
  </w:num>
  <w:num w:numId="5" w16cid:durableId="1792745771">
    <w:abstractNumId w:val="6"/>
  </w:num>
  <w:num w:numId="6" w16cid:durableId="2065253989">
    <w:abstractNumId w:val="3"/>
  </w:num>
  <w:num w:numId="7" w16cid:durableId="672606419">
    <w:abstractNumId w:val="1"/>
  </w:num>
  <w:num w:numId="8" w16cid:durableId="1051853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QztjS1MDawNDc1NjJS0lEKTi0uzszPAykwrAUAUVweqCwAAAA="/>
  </w:docVars>
  <w:rsids>
    <w:rsidRoot w:val="00BC3123"/>
    <w:rsid w:val="00057379"/>
    <w:rsid w:val="000B5C83"/>
    <w:rsid w:val="000E351A"/>
    <w:rsid w:val="00115729"/>
    <w:rsid w:val="00175D63"/>
    <w:rsid w:val="00210F2E"/>
    <w:rsid w:val="0022341F"/>
    <w:rsid w:val="0022640C"/>
    <w:rsid w:val="002721C0"/>
    <w:rsid w:val="00325A18"/>
    <w:rsid w:val="003A6526"/>
    <w:rsid w:val="003F48C5"/>
    <w:rsid w:val="004011F2"/>
    <w:rsid w:val="00462740"/>
    <w:rsid w:val="00522324"/>
    <w:rsid w:val="005310E0"/>
    <w:rsid w:val="00596D45"/>
    <w:rsid w:val="005D7180"/>
    <w:rsid w:val="00620D27"/>
    <w:rsid w:val="006748BB"/>
    <w:rsid w:val="006C1EA7"/>
    <w:rsid w:val="006D089B"/>
    <w:rsid w:val="00726FA1"/>
    <w:rsid w:val="007334A7"/>
    <w:rsid w:val="00744766"/>
    <w:rsid w:val="00826046"/>
    <w:rsid w:val="0085759B"/>
    <w:rsid w:val="00873504"/>
    <w:rsid w:val="0089629F"/>
    <w:rsid w:val="008A02DB"/>
    <w:rsid w:val="008D09E9"/>
    <w:rsid w:val="00922BFF"/>
    <w:rsid w:val="009536FD"/>
    <w:rsid w:val="009560F1"/>
    <w:rsid w:val="009B3289"/>
    <w:rsid w:val="009D7270"/>
    <w:rsid w:val="009F095C"/>
    <w:rsid w:val="00A1047B"/>
    <w:rsid w:val="00A7611F"/>
    <w:rsid w:val="00A83EE7"/>
    <w:rsid w:val="00AE0C82"/>
    <w:rsid w:val="00B07E6A"/>
    <w:rsid w:val="00B96C07"/>
    <w:rsid w:val="00BA66C2"/>
    <w:rsid w:val="00BB3B1B"/>
    <w:rsid w:val="00BC3123"/>
    <w:rsid w:val="00BD1114"/>
    <w:rsid w:val="00BE3CAE"/>
    <w:rsid w:val="00BF78E5"/>
    <w:rsid w:val="00C11340"/>
    <w:rsid w:val="00C931EF"/>
    <w:rsid w:val="00C976D7"/>
    <w:rsid w:val="00CA20AD"/>
    <w:rsid w:val="00CA6F9D"/>
    <w:rsid w:val="00D65E16"/>
    <w:rsid w:val="00D97119"/>
    <w:rsid w:val="00DC7A04"/>
    <w:rsid w:val="00DE2B24"/>
    <w:rsid w:val="00DE31B2"/>
    <w:rsid w:val="00DF46C1"/>
    <w:rsid w:val="00E16C3E"/>
    <w:rsid w:val="00E70F50"/>
    <w:rsid w:val="00E934CE"/>
    <w:rsid w:val="00EC5CCB"/>
    <w:rsid w:val="00EF29C7"/>
    <w:rsid w:val="00F14289"/>
    <w:rsid w:val="00F16E1D"/>
    <w:rsid w:val="00FB0845"/>
    <w:rsid w:val="00FD06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ACDB"/>
  <w15:chartTrackingRefBased/>
  <w15:docId w15:val="{3981A18F-24A1-4D19-AF46-4C88DE5F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B Nazanin"/>
        <w:color w:val="0D0A04"/>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340"/>
    <w:pPr>
      <w:bidi/>
    </w:pPr>
  </w:style>
  <w:style w:type="paragraph" w:styleId="Heading1">
    <w:name w:val="heading 1"/>
    <w:basedOn w:val="Normal"/>
    <w:next w:val="Normal"/>
    <w:link w:val="Heading1Char"/>
    <w:uiPriority w:val="9"/>
    <w:qFormat/>
    <w:rsid w:val="00BC3123"/>
    <w:pPr>
      <w:bidi w:val="0"/>
      <w:jc w:val="both"/>
      <w:outlineLvl w:val="0"/>
    </w:pPr>
    <w:rPr>
      <w:b/>
      <w:bCs/>
      <w:sz w:val="24"/>
      <w:szCs w:val="24"/>
    </w:rPr>
  </w:style>
  <w:style w:type="paragraph" w:styleId="Heading2">
    <w:name w:val="heading 2"/>
    <w:basedOn w:val="Normal"/>
    <w:next w:val="Normal"/>
    <w:link w:val="Heading2Char"/>
    <w:uiPriority w:val="9"/>
    <w:unhideWhenUsed/>
    <w:qFormat/>
    <w:rsid w:val="00BC3123"/>
    <w:pPr>
      <w:bidi w:val="0"/>
      <w:outlineLvl w:val="1"/>
    </w:pPr>
    <w:rPr>
      <w:i/>
      <w:iCs/>
    </w:rPr>
  </w:style>
  <w:style w:type="paragraph" w:styleId="Heading3">
    <w:name w:val="heading 3"/>
    <w:basedOn w:val="Normal"/>
    <w:next w:val="Normal"/>
    <w:link w:val="Heading3Char"/>
    <w:uiPriority w:val="9"/>
    <w:semiHidden/>
    <w:unhideWhenUsed/>
    <w:qFormat/>
    <w:rsid w:val="00BC312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1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31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31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1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1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1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23"/>
    <w:rPr>
      <w:b/>
      <w:bCs/>
      <w:sz w:val="24"/>
      <w:szCs w:val="24"/>
    </w:rPr>
  </w:style>
  <w:style w:type="character" w:customStyle="1" w:styleId="Heading2Char">
    <w:name w:val="Heading 2 Char"/>
    <w:basedOn w:val="DefaultParagraphFont"/>
    <w:link w:val="Heading2"/>
    <w:uiPriority w:val="9"/>
    <w:rsid w:val="00BC3123"/>
    <w:rPr>
      <w:i/>
      <w:iCs/>
    </w:rPr>
  </w:style>
  <w:style w:type="character" w:customStyle="1" w:styleId="Heading3Char">
    <w:name w:val="Heading 3 Char"/>
    <w:basedOn w:val="DefaultParagraphFont"/>
    <w:link w:val="Heading3"/>
    <w:uiPriority w:val="9"/>
    <w:semiHidden/>
    <w:rsid w:val="00BC312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1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C31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31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31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31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31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312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C312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C31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3123"/>
    <w:pPr>
      <w:spacing w:before="160"/>
      <w:jc w:val="center"/>
    </w:pPr>
    <w:rPr>
      <w:i/>
      <w:iCs/>
      <w:color w:val="404040" w:themeColor="text1" w:themeTint="BF"/>
    </w:rPr>
  </w:style>
  <w:style w:type="character" w:customStyle="1" w:styleId="QuoteChar">
    <w:name w:val="Quote Char"/>
    <w:basedOn w:val="DefaultParagraphFont"/>
    <w:link w:val="Quote"/>
    <w:uiPriority w:val="29"/>
    <w:rsid w:val="00BC3123"/>
    <w:rPr>
      <w:i/>
      <w:iCs/>
      <w:color w:val="404040" w:themeColor="text1" w:themeTint="BF"/>
    </w:rPr>
  </w:style>
  <w:style w:type="paragraph" w:styleId="ListParagraph">
    <w:name w:val="List Paragraph"/>
    <w:basedOn w:val="Normal"/>
    <w:uiPriority w:val="34"/>
    <w:qFormat/>
    <w:rsid w:val="00BC3123"/>
    <w:pPr>
      <w:ind w:left="720"/>
      <w:contextualSpacing/>
    </w:pPr>
  </w:style>
  <w:style w:type="character" w:styleId="IntenseEmphasis">
    <w:name w:val="Intense Emphasis"/>
    <w:basedOn w:val="DefaultParagraphFont"/>
    <w:uiPriority w:val="21"/>
    <w:qFormat/>
    <w:rsid w:val="00BC3123"/>
    <w:rPr>
      <w:i/>
      <w:iCs/>
      <w:color w:val="2F5496" w:themeColor="accent1" w:themeShade="BF"/>
    </w:rPr>
  </w:style>
  <w:style w:type="paragraph" w:styleId="IntenseQuote">
    <w:name w:val="Intense Quote"/>
    <w:basedOn w:val="Normal"/>
    <w:next w:val="Normal"/>
    <w:link w:val="IntenseQuoteChar"/>
    <w:uiPriority w:val="30"/>
    <w:qFormat/>
    <w:rsid w:val="00BC3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123"/>
    <w:rPr>
      <w:i/>
      <w:iCs/>
      <w:color w:val="2F5496" w:themeColor="accent1" w:themeShade="BF"/>
    </w:rPr>
  </w:style>
  <w:style w:type="character" w:styleId="IntenseReference">
    <w:name w:val="Intense Reference"/>
    <w:basedOn w:val="DefaultParagraphFont"/>
    <w:uiPriority w:val="32"/>
    <w:qFormat/>
    <w:rsid w:val="00BC3123"/>
    <w:rPr>
      <w:b/>
      <w:bCs/>
      <w:smallCaps/>
      <w:color w:val="2F5496" w:themeColor="accent1" w:themeShade="BF"/>
      <w:spacing w:val="5"/>
    </w:rPr>
  </w:style>
  <w:style w:type="table" w:styleId="TableGrid">
    <w:name w:val="Table Grid"/>
    <w:basedOn w:val="TableNormal"/>
    <w:uiPriority w:val="39"/>
    <w:rsid w:val="00BC3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6F9D"/>
    <w:rPr>
      <w:color w:val="0563C1" w:themeColor="hyperlink"/>
      <w:u w:val="single"/>
    </w:rPr>
  </w:style>
  <w:style w:type="character" w:customStyle="1" w:styleId="UnresolvedMention1">
    <w:name w:val="Unresolved Mention1"/>
    <w:basedOn w:val="DefaultParagraphFont"/>
    <w:uiPriority w:val="99"/>
    <w:semiHidden/>
    <w:unhideWhenUsed/>
    <w:rsid w:val="00CA6F9D"/>
    <w:rPr>
      <w:color w:val="605E5C"/>
      <w:shd w:val="clear" w:color="auto" w:fill="E1DFDD"/>
    </w:rPr>
  </w:style>
  <w:style w:type="paragraph" w:styleId="NormalWeb">
    <w:name w:val="Normal (Web)"/>
    <w:basedOn w:val="Normal"/>
    <w:uiPriority w:val="99"/>
    <w:unhideWhenUsed/>
    <w:rsid w:val="00B96C07"/>
    <w:pPr>
      <w:bidi w:val="0"/>
      <w:spacing w:before="100" w:beforeAutospacing="1" w:after="100" w:afterAutospacing="1" w:line="240" w:lineRule="auto"/>
    </w:pPr>
    <w:rPr>
      <w:rFonts w:eastAsia="Times New Roman" w:cs="Times New Roman"/>
      <w:color w:val="auto"/>
      <w:sz w:val="24"/>
      <w:szCs w:val="24"/>
      <w14:ligatures w14:val="none"/>
    </w:rPr>
  </w:style>
  <w:style w:type="character" w:styleId="Strong">
    <w:name w:val="Strong"/>
    <w:basedOn w:val="DefaultParagraphFont"/>
    <w:uiPriority w:val="22"/>
    <w:qFormat/>
    <w:rsid w:val="006748BB"/>
    <w:rPr>
      <w:b/>
      <w:bCs/>
    </w:rPr>
  </w:style>
  <w:style w:type="character" w:styleId="FollowedHyperlink">
    <w:name w:val="FollowedHyperlink"/>
    <w:basedOn w:val="DefaultParagraphFont"/>
    <w:uiPriority w:val="99"/>
    <w:semiHidden/>
    <w:unhideWhenUsed/>
    <w:rsid w:val="005310E0"/>
    <w:rPr>
      <w:color w:val="954F72" w:themeColor="followedHyperlink"/>
      <w:u w:val="single"/>
    </w:rPr>
  </w:style>
  <w:style w:type="character" w:styleId="UnresolvedMention">
    <w:name w:val="Unresolved Mention"/>
    <w:basedOn w:val="DefaultParagraphFont"/>
    <w:uiPriority w:val="99"/>
    <w:semiHidden/>
    <w:unhideWhenUsed/>
    <w:rsid w:val="00DC7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408">
      <w:bodyDiv w:val="1"/>
      <w:marLeft w:val="0"/>
      <w:marRight w:val="0"/>
      <w:marTop w:val="0"/>
      <w:marBottom w:val="0"/>
      <w:divBdr>
        <w:top w:val="none" w:sz="0" w:space="0" w:color="auto"/>
        <w:left w:val="none" w:sz="0" w:space="0" w:color="auto"/>
        <w:bottom w:val="none" w:sz="0" w:space="0" w:color="auto"/>
        <w:right w:val="none" w:sz="0" w:space="0" w:color="auto"/>
      </w:divBdr>
      <w:divsChild>
        <w:div w:id="889341674">
          <w:marLeft w:val="0"/>
          <w:marRight w:val="0"/>
          <w:marTop w:val="120"/>
          <w:marBottom w:val="120"/>
          <w:divBdr>
            <w:top w:val="none" w:sz="0" w:space="0" w:color="auto"/>
            <w:left w:val="none" w:sz="0" w:space="0" w:color="auto"/>
            <w:bottom w:val="none" w:sz="0" w:space="0" w:color="auto"/>
            <w:right w:val="none" w:sz="0" w:space="0" w:color="auto"/>
          </w:divBdr>
        </w:div>
        <w:div w:id="747773321">
          <w:marLeft w:val="0"/>
          <w:marRight w:val="0"/>
          <w:marTop w:val="120"/>
          <w:marBottom w:val="120"/>
          <w:divBdr>
            <w:top w:val="none" w:sz="0" w:space="0" w:color="auto"/>
            <w:left w:val="none" w:sz="0" w:space="0" w:color="auto"/>
            <w:bottom w:val="none" w:sz="0" w:space="0" w:color="auto"/>
            <w:right w:val="none" w:sz="0" w:space="0" w:color="auto"/>
          </w:divBdr>
        </w:div>
        <w:div w:id="292056464">
          <w:marLeft w:val="0"/>
          <w:marRight w:val="0"/>
          <w:marTop w:val="120"/>
          <w:marBottom w:val="120"/>
          <w:divBdr>
            <w:top w:val="none" w:sz="0" w:space="0" w:color="auto"/>
            <w:left w:val="none" w:sz="0" w:space="0" w:color="auto"/>
            <w:bottom w:val="none" w:sz="0" w:space="0" w:color="auto"/>
            <w:right w:val="none" w:sz="0" w:space="0" w:color="auto"/>
          </w:divBdr>
        </w:div>
        <w:div w:id="1671179860">
          <w:marLeft w:val="0"/>
          <w:marRight w:val="0"/>
          <w:marTop w:val="120"/>
          <w:marBottom w:val="120"/>
          <w:divBdr>
            <w:top w:val="none" w:sz="0" w:space="0" w:color="auto"/>
            <w:left w:val="none" w:sz="0" w:space="0" w:color="auto"/>
            <w:bottom w:val="none" w:sz="0" w:space="0" w:color="auto"/>
            <w:right w:val="none" w:sz="0" w:space="0" w:color="auto"/>
          </w:divBdr>
        </w:div>
        <w:div w:id="1408573610">
          <w:marLeft w:val="0"/>
          <w:marRight w:val="0"/>
          <w:marTop w:val="120"/>
          <w:marBottom w:val="120"/>
          <w:divBdr>
            <w:top w:val="none" w:sz="0" w:space="0" w:color="auto"/>
            <w:left w:val="none" w:sz="0" w:space="0" w:color="auto"/>
            <w:bottom w:val="none" w:sz="0" w:space="0" w:color="auto"/>
            <w:right w:val="none" w:sz="0" w:space="0" w:color="auto"/>
          </w:divBdr>
        </w:div>
        <w:div w:id="533470923">
          <w:marLeft w:val="0"/>
          <w:marRight w:val="0"/>
          <w:marTop w:val="120"/>
          <w:marBottom w:val="120"/>
          <w:divBdr>
            <w:top w:val="none" w:sz="0" w:space="0" w:color="auto"/>
            <w:left w:val="none" w:sz="0" w:space="0" w:color="auto"/>
            <w:bottom w:val="none" w:sz="0" w:space="0" w:color="auto"/>
            <w:right w:val="none" w:sz="0" w:space="0" w:color="auto"/>
          </w:divBdr>
        </w:div>
        <w:div w:id="1515462029">
          <w:marLeft w:val="0"/>
          <w:marRight w:val="0"/>
          <w:marTop w:val="120"/>
          <w:marBottom w:val="120"/>
          <w:divBdr>
            <w:top w:val="none" w:sz="0" w:space="0" w:color="auto"/>
            <w:left w:val="none" w:sz="0" w:space="0" w:color="auto"/>
            <w:bottom w:val="none" w:sz="0" w:space="0" w:color="auto"/>
            <w:right w:val="none" w:sz="0" w:space="0" w:color="auto"/>
          </w:divBdr>
        </w:div>
        <w:div w:id="1249004109">
          <w:marLeft w:val="0"/>
          <w:marRight w:val="0"/>
          <w:marTop w:val="120"/>
          <w:marBottom w:val="120"/>
          <w:divBdr>
            <w:top w:val="none" w:sz="0" w:space="0" w:color="auto"/>
            <w:left w:val="none" w:sz="0" w:space="0" w:color="auto"/>
            <w:bottom w:val="none" w:sz="0" w:space="0" w:color="auto"/>
            <w:right w:val="none" w:sz="0" w:space="0" w:color="auto"/>
          </w:divBdr>
        </w:div>
        <w:div w:id="283848082">
          <w:marLeft w:val="0"/>
          <w:marRight w:val="0"/>
          <w:marTop w:val="120"/>
          <w:marBottom w:val="120"/>
          <w:divBdr>
            <w:top w:val="none" w:sz="0" w:space="0" w:color="auto"/>
            <w:left w:val="none" w:sz="0" w:space="0" w:color="auto"/>
            <w:bottom w:val="none" w:sz="0" w:space="0" w:color="auto"/>
            <w:right w:val="none" w:sz="0" w:space="0" w:color="auto"/>
          </w:divBdr>
        </w:div>
        <w:div w:id="1614245285">
          <w:marLeft w:val="0"/>
          <w:marRight w:val="0"/>
          <w:marTop w:val="120"/>
          <w:marBottom w:val="120"/>
          <w:divBdr>
            <w:top w:val="none" w:sz="0" w:space="0" w:color="auto"/>
            <w:left w:val="none" w:sz="0" w:space="0" w:color="auto"/>
            <w:bottom w:val="none" w:sz="0" w:space="0" w:color="auto"/>
            <w:right w:val="none" w:sz="0" w:space="0" w:color="auto"/>
          </w:divBdr>
        </w:div>
        <w:div w:id="10687854">
          <w:marLeft w:val="0"/>
          <w:marRight w:val="0"/>
          <w:marTop w:val="120"/>
          <w:marBottom w:val="120"/>
          <w:divBdr>
            <w:top w:val="none" w:sz="0" w:space="0" w:color="auto"/>
            <w:left w:val="none" w:sz="0" w:space="0" w:color="auto"/>
            <w:bottom w:val="none" w:sz="0" w:space="0" w:color="auto"/>
            <w:right w:val="none" w:sz="0" w:space="0" w:color="auto"/>
          </w:divBdr>
        </w:div>
        <w:div w:id="599022500">
          <w:marLeft w:val="0"/>
          <w:marRight w:val="0"/>
          <w:marTop w:val="120"/>
          <w:marBottom w:val="120"/>
          <w:divBdr>
            <w:top w:val="none" w:sz="0" w:space="0" w:color="auto"/>
            <w:left w:val="none" w:sz="0" w:space="0" w:color="auto"/>
            <w:bottom w:val="none" w:sz="0" w:space="0" w:color="auto"/>
            <w:right w:val="none" w:sz="0" w:space="0" w:color="auto"/>
          </w:divBdr>
        </w:div>
        <w:div w:id="1357973024">
          <w:marLeft w:val="0"/>
          <w:marRight w:val="0"/>
          <w:marTop w:val="120"/>
          <w:marBottom w:val="120"/>
          <w:divBdr>
            <w:top w:val="none" w:sz="0" w:space="0" w:color="auto"/>
            <w:left w:val="none" w:sz="0" w:space="0" w:color="auto"/>
            <w:bottom w:val="none" w:sz="0" w:space="0" w:color="auto"/>
            <w:right w:val="none" w:sz="0" w:space="0" w:color="auto"/>
          </w:divBdr>
        </w:div>
      </w:divsChild>
    </w:div>
    <w:div w:id="10573519">
      <w:bodyDiv w:val="1"/>
      <w:marLeft w:val="0"/>
      <w:marRight w:val="0"/>
      <w:marTop w:val="0"/>
      <w:marBottom w:val="0"/>
      <w:divBdr>
        <w:top w:val="none" w:sz="0" w:space="0" w:color="auto"/>
        <w:left w:val="none" w:sz="0" w:space="0" w:color="auto"/>
        <w:bottom w:val="none" w:sz="0" w:space="0" w:color="auto"/>
        <w:right w:val="none" w:sz="0" w:space="0" w:color="auto"/>
      </w:divBdr>
    </w:div>
    <w:div w:id="85544841">
      <w:bodyDiv w:val="1"/>
      <w:marLeft w:val="0"/>
      <w:marRight w:val="0"/>
      <w:marTop w:val="0"/>
      <w:marBottom w:val="0"/>
      <w:divBdr>
        <w:top w:val="none" w:sz="0" w:space="0" w:color="auto"/>
        <w:left w:val="none" w:sz="0" w:space="0" w:color="auto"/>
        <w:bottom w:val="none" w:sz="0" w:space="0" w:color="auto"/>
        <w:right w:val="none" w:sz="0" w:space="0" w:color="auto"/>
      </w:divBdr>
    </w:div>
    <w:div w:id="167403673">
      <w:bodyDiv w:val="1"/>
      <w:marLeft w:val="0"/>
      <w:marRight w:val="0"/>
      <w:marTop w:val="0"/>
      <w:marBottom w:val="0"/>
      <w:divBdr>
        <w:top w:val="none" w:sz="0" w:space="0" w:color="auto"/>
        <w:left w:val="none" w:sz="0" w:space="0" w:color="auto"/>
        <w:bottom w:val="none" w:sz="0" w:space="0" w:color="auto"/>
        <w:right w:val="none" w:sz="0" w:space="0" w:color="auto"/>
      </w:divBdr>
    </w:div>
    <w:div w:id="218515688">
      <w:bodyDiv w:val="1"/>
      <w:marLeft w:val="0"/>
      <w:marRight w:val="0"/>
      <w:marTop w:val="0"/>
      <w:marBottom w:val="0"/>
      <w:divBdr>
        <w:top w:val="none" w:sz="0" w:space="0" w:color="auto"/>
        <w:left w:val="none" w:sz="0" w:space="0" w:color="auto"/>
        <w:bottom w:val="none" w:sz="0" w:space="0" w:color="auto"/>
        <w:right w:val="none" w:sz="0" w:space="0" w:color="auto"/>
      </w:divBdr>
    </w:div>
    <w:div w:id="270553513">
      <w:bodyDiv w:val="1"/>
      <w:marLeft w:val="0"/>
      <w:marRight w:val="0"/>
      <w:marTop w:val="0"/>
      <w:marBottom w:val="0"/>
      <w:divBdr>
        <w:top w:val="none" w:sz="0" w:space="0" w:color="auto"/>
        <w:left w:val="none" w:sz="0" w:space="0" w:color="auto"/>
        <w:bottom w:val="none" w:sz="0" w:space="0" w:color="auto"/>
        <w:right w:val="none" w:sz="0" w:space="0" w:color="auto"/>
      </w:divBdr>
    </w:div>
    <w:div w:id="307055370">
      <w:bodyDiv w:val="1"/>
      <w:marLeft w:val="0"/>
      <w:marRight w:val="0"/>
      <w:marTop w:val="0"/>
      <w:marBottom w:val="0"/>
      <w:divBdr>
        <w:top w:val="none" w:sz="0" w:space="0" w:color="auto"/>
        <w:left w:val="none" w:sz="0" w:space="0" w:color="auto"/>
        <w:bottom w:val="none" w:sz="0" w:space="0" w:color="auto"/>
        <w:right w:val="none" w:sz="0" w:space="0" w:color="auto"/>
      </w:divBdr>
    </w:div>
    <w:div w:id="337850994">
      <w:bodyDiv w:val="1"/>
      <w:marLeft w:val="0"/>
      <w:marRight w:val="0"/>
      <w:marTop w:val="0"/>
      <w:marBottom w:val="0"/>
      <w:divBdr>
        <w:top w:val="none" w:sz="0" w:space="0" w:color="auto"/>
        <w:left w:val="none" w:sz="0" w:space="0" w:color="auto"/>
        <w:bottom w:val="none" w:sz="0" w:space="0" w:color="auto"/>
        <w:right w:val="none" w:sz="0" w:space="0" w:color="auto"/>
      </w:divBdr>
      <w:divsChild>
        <w:div w:id="925309887">
          <w:marLeft w:val="0"/>
          <w:marRight w:val="0"/>
          <w:marTop w:val="120"/>
          <w:marBottom w:val="120"/>
          <w:divBdr>
            <w:top w:val="none" w:sz="0" w:space="0" w:color="auto"/>
            <w:left w:val="none" w:sz="0" w:space="0" w:color="auto"/>
            <w:bottom w:val="none" w:sz="0" w:space="0" w:color="auto"/>
            <w:right w:val="none" w:sz="0" w:space="0" w:color="auto"/>
          </w:divBdr>
        </w:div>
        <w:div w:id="249780158">
          <w:marLeft w:val="0"/>
          <w:marRight w:val="0"/>
          <w:marTop w:val="120"/>
          <w:marBottom w:val="120"/>
          <w:divBdr>
            <w:top w:val="none" w:sz="0" w:space="0" w:color="auto"/>
            <w:left w:val="none" w:sz="0" w:space="0" w:color="auto"/>
            <w:bottom w:val="none" w:sz="0" w:space="0" w:color="auto"/>
            <w:right w:val="none" w:sz="0" w:space="0" w:color="auto"/>
          </w:divBdr>
        </w:div>
        <w:div w:id="1660305518">
          <w:marLeft w:val="0"/>
          <w:marRight w:val="0"/>
          <w:marTop w:val="120"/>
          <w:marBottom w:val="120"/>
          <w:divBdr>
            <w:top w:val="none" w:sz="0" w:space="0" w:color="auto"/>
            <w:left w:val="none" w:sz="0" w:space="0" w:color="auto"/>
            <w:bottom w:val="none" w:sz="0" w:space="0" w:color="auto"/>
            <w:right w:val="none" w:sz="0" w:space="0" w:color="auto"/>
          </w:divBdr>
        </w:div>
        <w:div w:id="1266308971">
          <w:marLeft w:val="0"/>
          <w:marRight w:val="0"/>
          <w:marTop w:val="120"/>
          <w:marBottom w:val="120"/>
          <w:divBdr>
            <w:top w:val="none" w:sz="0" w:space="0" w:color="auto"/>
            <w:left w:val="none" w:sz="0" w:space="0" w:color="auto"/>
            <w:bottom w:val="none" w:sz="0" w:space="0" w:color="auto"/>
            <w:right w:val="none" w:sz="0" w:space="0" w:color="auto"/>
          </w:divBdr>
        </w:div>
        <w:div w:id="1355113019">
          <w:marLeft w:val="0"/>
          <w:marRight w:val="0"/>
          <w:marTop w:val="120"/>
          <w:marBottom w:val="120"/>
          <w:divBdr>
            <w:top w:val="none" w:sz="0" w:space="0" w:color="auto"/>
            <w:left w:val="none" w:sz="0" w:space="0" w:color="auto"/>
            <w:bottom w:val="none" w:sz="0" w:space="0" w:color="auto"/>
            <w:right w:val="none" w:sz="0" w:space="0" w:color="auto"/>
          </w:divBdr>
        </w:div>
        <w:div w:id="488205486">
          <w:marLeft w:val="0"/>
          <w:marRight w:val="0"/>
          <w:marTop w:val="120"/>
          <w:marBottom w:val="120"/>
          <w:divBdr>
            <w:top w:val="none" w:sz="0" w:space="0" w:color="auto"/>
            <w:left w:val="none" w:sz="0" w:space="0" w:color="auto"/>
            <w:bottom w:val="none" w:sz="0" w:space="0" w:color="auto"/>
            <w:right w:val="none" w:sz="0" w:space="0" w:color="auto"/>
          </w:divBdr>
        </w:div>
        <w:div w:id="65954173">
          <w:marLeft w:val="0"/>
          <w:marRight w:val="0"/>
          <w:marTop w:val="120"/>
          <w:marBottom w:val="120"/>
          <w:divBdr>
            <w:top w:val="none" w:sz="0" w:space="0" w:color="auto"/>
            <w:left w:val="none" w:sz="0" w:space="0" w:color="auto"/>
            <w:bottom w:val="none" w:sz="0" w:space="0" w:color="auto"/>
            <w:right w:val="none" w:sz="0" w:space="0" w:color="auto"/>
          </w:divBdr>
        </w:div>
        <w:div w:id="471485290">
          <w:marLeft w:val="0"/>
          <w:marRight w:val="0"/>
          <w:marTop w:val="120"/>
          <w:marBottom w:val="120"/>
          <w:divBdr>
            <w:top w:val="none" w:sz="0" w:space="0" w:color="auto"/>
            <w:left w:val="none" w:sz="0" w:space="0" w:color="auto"/>
            <w:bottom w:val="none" w:sz="0" w:space="0" w:color="auto"/>
            <w:right w:val="none" w:sz="0" w:space="0" w:color="auto"/>
          </w:divBdr>
        </w:div>
        <w:div w:id="1302494000">
          <w:marLeft w:val="0"/>
          <w:marRight w:val="0"/>
          <w:marTop w:val="120"/>
          <w:marBottom w:val="120"/>
          <w:divBdr>
            <w:top w:val="none" w:sz="0" w:space="0" w:color="auto"/>
            <w:left w:val="none" w:sz="0" w:space="0" w:color="auto"/>
            <w:bottom w:val="none" w:sz="0" w:space="0" w:color="auto"/>
            <w:right w:val="none" w:sz="0" w:space="0" w:color="auto"/>
          </w:divBdr>
        </w:div>
        <w:div w:id="381028080">
          <w:marLeft w:val="0"/>
          <w:marRight w:val="0"/>
          <w:marTop w:val="120"/>
          <w:marBottom w:val="120"/>
          <w:divBdr>
            <w:top w:val="none" w:sz="0" w:space="0" w:color="auto"/>
            <w:left w:val="none" w:sz="0" w:space="0" w:color="auto"/>
            <w:bottom w:val="none" w:sz="0" w:space="0" w:color="auto"/>
            <w:right w:val="none" w:sz="0" w:space="0" w:color="auto"/>
          </w:divBdr>
        </w:div>
        <w:div w:id="1069883743">
          <w:marLeft w:val="0"/>
          <w:marRight w:val="0"/>
          <w:marTop w:val="120"/>
          <w:marBottom w:val="120"/>
          <w:divBdr>
            <w:top w:val="none" w:sz="0" w:space="0" w:color="auto"/>
            <w:left w:val="none" w:sz="0" w:space="0" w:color="auto"/>
            <w:bottom w:val="none" w:sz="0" w:space="0" w:color="auto"/>
            <w:right w:val="none" w:sz="0" w:space="0" w:color="auto"/>
          </w:divBdr>
        </w:div>
        <w:div w:id="1108963925">
          <w:marLeft w:val="0"/>
          <w:marRight w:val="0"/>
          <w:marTop w:val="120"/>
          <w:marBottom w:val="120"/>
          <w:divBdr>
            <w:top w:val="none" w:sz="0" w:space="0" w:color="auto"/>
            <w:left w:val="none" w:sz="0" w:space="0" w:color="auto"/>
            <w:bottom w:val="none" w:sz="0" w:space="0" w:color="auto"/>
            <w:right w:val="none" w:sz="0" w:space="0" w:color="auto"/>
          </w:divBdr>
        </w:div>
        <w:div w:id="1047532529">
          <w:marLeft w:val="0"/>
          <w:marRight w:val="0"/>
          <w:marTop w:val="120"/>
          <w:marBottom w:val="120"/>
          <w:divBdr>
            <w:top w:val="none" w:sz="0" w:space="0" w:color="auto"/>
            <w:left w:val="none" w:sz="0" w:space="0" w:color="auto"/>
            <w:bottom w:val="none" w:sz="0" w:space="0" w:color="auto"/>
            <w:right w:val="none" w:sz="0" w:space="0" w:color="auto"/>
          </w:divBdr>
        </w:div>
        <w:div w:id="130904797">
          <w:marLeft w:val="0"/>
          <w:marRight w:val="0"/>
          <w:marTop w:val="120"/>
          <w:marBottom w:val="120"/>
          <w:divBdr>
            <w:top w:val="none" w:sz="0" w:space="0" w:color="auto"/>
            <w:left w:val="none" w:sz="0" w:space="0" w:color="auto"/>
            <w:bottom w:val="none" w:sz="0" w:space="0" w:color="auto"/>
            <w:right w:val="none" w:sz="0" w:space="0" w:color="auto"/>
          </w:divBdr>
        </w:div>
        <w:div w:id="793718186">
          <w:marLeft w:val="0"/>
          <w:marRight w:val="0"/>
          <w:marTop w:val="120"/>
          <w:marBottom w:val="120"/>
          <w:divBdr>
            <w:top w:val="none" w:sz="0" w:space="0" w:color="auto"/>
            <w:left w:val="none" w:sz="0" w:space="0" w:color="auto"/>
            <w:bottom w:val="none" w:sz="0" w:space="0" w:color="auto"/>
            <w:right w:val="none" w:sz="0" w:space="0" w:color="auto"/>
          </w:divBdr>
        </w:div>
        <w:div w:id="1502087446">
          <w:marLeft w:val="0"/>
          <w:marRight w:val="0"/>
          <w:marTop w:val="120"/>
          <w:marBottom w:val="120"/>
          <w:divBdr>
            <w:top w:val="none" w:sz="0" w:space="0" w:color="auto"/>
            <w:left w:val="none" w:sz="0" w:space="0" w:color="auto"/>
            <w:bottom w:val="none" w:sz="0" w:space="0" w:color="auto"/>
            <w:right w:val="none" w:sz="0" w:space="0" w:color="auto"/>
          </w:divBdr>
        </w:div>
      </w:divsChild>
    </w:div>
    <w:div w:id="366107850">
      <w:bodyDiv w:val="1"/>
      <w:marLeft w:val="0"/>
      <w:marRight w:val="0"/>
      <w:marTop w:val="0"/>
      <w:marBottom w:val="0"/>
      <w:divBdr>
        <w:top w:val="none" w:sz="0" w:space="0" w:color="auto"/>
        <w:left w:val="none" w:sz="0" w:space="0" w:color="auto"/>
        <w:bottom w:val="none" w:sz="0" w:space="0" w:color="auto"/>
        <w:right w:val="none" w:sz="0" w:space="0" w:color="auto"/>
      </w:divBdr>
    </w:div>
    <w:div w:id="395204415">
      <w:bodyDiv w:val="1"/>
      <w:marLeft w:val="0"/>
      <w:marRight w:val="0"/>
      <w:marTop w:val="0"/>
      <w:marBottom w:val="0"/>
      <w:divBdr>
        <w:top w:val="none" w:sz="0" w:space="0" w:color="auto"/>
        <w:left w:val="none" w:sz="0" w:space="0" w:color="auto"/>
        <w:bottom w:val="none" w:sz="0" w:space="0" w:color="auto"/>
        <w:right w:val="none" w:sz="0" w:space="0" w:color="auto"/>
      </w:divBdr>
    </w:div>
    <w:div w:id="431242953">
      <w:bodyDiv w:val="1"/>
      <w:marLeft w:val="0"/>
      <w:marRight w:val="0"/>
      <w:marTop w:val="0"/>
      <w:marBottom w:val="0"/>
      <w:divBdr>
        <w:top w:val="none" w:sz="0" w:space="0" w:color="auto"/>
        <w:left w:val="none" w:sz="0" w:space="0" w:color="auto"/>
        <w:bottom w:val="none" w:sz="0" w:space="0" w:color="auto"/>
        <w:right w:val="none" w:sz="0" w:space="0" w:color="auto"/>
      </w:divBdr>
      <w:divsChild>
        <w:div w:id="1405882440">
          <w:marLeft w:val="0"/>
          <w:marRight w:val="0"/>
          <w:marTop w:val="0"/>
          <w:marBottom w:val="0"/>
          <w:divBdr>
            <w:top w:val="none" w:sz="0" w:space="0" w:color="auto"/>
            <w:left w:val="none" w:sz="0" w:space="0" w:color="auto"/>
            <w:bottom w:val="none" w:sz="0" w:space="0" w:color="auto"/>
            <w:right w:val="none" w:sz="0" w:space="0" w:color="auto"/>
          </w:divBdr>
          <w:divsChild>
            <w:div w:id="706179335">
              <w:marLeft w:val="0"/>
              <w:marRight w:val="0"/>
              <w:marTop w:val="0"/>
              <w:marBottom w:val="0"/>
              <w:divBdr>
                <w:top w:val="none" w:sz="0" w:space="0" w:color="auto"/>
                <w:left w:val="none" w:sz="0" w:space="0" w:color="auto"/>
                <w:bottom w:val="none" w:sz="0" w:space="0" w:color="auto"/>
                <w:right w:val="none" w:sz="0" w:space="0" w:color="auto"/>
              </w:divBdr>
              <w:divsChild>
                <w:div w:id="7988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95239">
      <w:bodyDiv w:val="1"/>
      <w:marLeft w:val="0"/>
      <w:marRight w:val="0"/>
      <w:marTop w:val="0"/>
      <w:marBottom w:val="0"/>
      <w:divBdr>
        <w:top w:val="none" w:sz="0" w:space="0" w:color="auto"/>
        <w:left w:val="none" w:sz="0" w:space="0" w:color="auto"/>
        <w:bottom w:val="none" w:sz="0" w:space="0" w:color="auto"/>
        <w:right w:val="none" w:sz="0" w:space="0" w:color="auto"/>
      </w:divBdr>
    </w:div>
    <w:div w:id="597105972">
      <w:bodyDiv w:val="1"/>
      <w:marLeft w:val="0"/>
      <w:marRight w:val="0"/>
      <w:marTop w:val="0"/>
      <w:marBottom w:val="0"/>
      <w:divBdr>
        <w:top w:val="none" w:sz="0" w:space="0" w:color="auto"/>
        <w:left w:val="none" w:sz="0" w:space="0" w:color="auto"/>
        <w:bottom w:val="none" w:sz="0" w:space="0" w:color="auto"/>
        <w:right w:val="none" w:sz="0" w:space="0" w:color="auto"/>
      </w:divBdr>
      <w:divsChild>
        <w:div w:id="473447321">
          <w:marLeft w:val="0"/>
          <w:marRight w:val="0"/>
          <w:marTop w:val="120"/>
          <w:marBottom w:val="120"/>
          <w:divBdr>
            <w:top w:val="none" w:sz="0" w:space="0" w:color="auto"/>
            <w:left w:val="none" w:sz="0" w:space="0" w:color="auto"/>
            <w:bottom w:val="none" w:sz="0" w:space="0" w:color="auto"/>
            <w:right w:val="none" w:sz="0" w:space="0" w:color="auto"/>
          </w:divBdr>
        </w:div>
        <w:div w:id="156192579">
          <w:marLeft w:val="0"/>
          <w:marRight w:val="0"/>
          <w:marTop w:val="120"/>
          <w:marBottom w:val="120"/>
          <w:divBdr>
            <w:top w:val="none" w:sz="0" w:space="0" w:color="auto"/>
            <w:left w:val="none" w:sz="0" w:space="0" w:color="auto"/>
            <w:bottom w:val="none" w:sz="0" w:space="0" w:color="auto"/>
            <w:right w:val="none" w:sz="0" w:space="0" w:color="auto"/>
          </w:divBdr>
        </w:div>
        <w:div w:id="1647783551">
          <w:marLeft w:val="0"/>
          <w:marRight w:val="0"/>
          <w:marTop w:val="120"/>
          <w:marBottom w:val="120"/>
          <w:divBdr>
            <w:top w:val="none" w:sz="0" w:space="0" w:color="auto"/>
            <w:left w:val="none" w:sz="0" w:space="0" w:color="auto"/>
            <w:bottom w:val="none" w:sz="0" w:space="0" w:color="auto"/>
            <w:right w:val="none" w:sz="0" w:space="0" w:color="auto"/>
          </w:divBdr>
        </w:div>
        <w:div w:id="291523766">
          <w:marLeft w:val="0"/>
          <w:marRight w:val="0"/>
          <w:marTop w:val="120"/>
          <w:marBottom w:val="120"/>
          <w:divBdr>
            <w:top w:val="none" w:sz="0" w:space="0" w:color="auto"/>
            <w:left w:val="none" w:sz="0" w:space="0" w:color="auto"/>
            <w:bottom w:val="none" w:sz="0" w:space="0" w:color="auto"/>
            <w:right w:val="none" w:sz="0" w:space="0" w:color="auto"/>
          </w:divBdr>
        </w:div>
        <w:div w:id="2023243700">
          <w:marLeft w:val="0"/>
          <w:marRight w:val="0"/>
          <w:marTop w:val="120"/>
          <w:marBottom w:val="120"/>
          <w:divBdr>
            <w:top w:val="none" w:sz="0" w:space="0" w:color="auto"/>
            <w:left w:val="none" w:sz="0" w:space="0" w:color="auto"/>
            <w:bottom w:val="none" w:sz="0" w:space="0" w:color="auto"/>
            <w:right w:val="none" w:sz="0" w:space="0" w:color="auto"/>
          </w:divBdr>
        </w:div>
        <w:div w:id="1926300235">
          <w:marLeft w:val="0"/>
          <w:marRight w:val="0"/>
          <w:marTop w:val="120"/>
          <w:marBottom w:val="120"/>
          <w:divBdr>
            <w:top w:val="none" w:sz="0" w:space="0" w:color="auto"/>
            <w:left w:val="none" w:sz="0" w:space="0" w:color="auto"/>
            <w:bottom w:val="none" w:sz="0" w:space="0" w:color="auto"/>
            <w:right w:val="none" w:sz="0" w:space="0" w:color="auto"/>
          </w:divBdr>
        </w:div>
        <w:div w:id="1966958066">
          <w:marLeft w:val="0"/>
          <w:marRight w:val="0"/>
          <w:marTop w:val="120"/>
          <w:marBottom w:val="120"/>
          <w:divBdr>
            <w:top w:val="none" w:sz="0" w:space="0" w:color="auto"/>
            <w:left w:val="none" w:sz="0" w:space="0" w:color="auto"/>
            <w:bottom w:val="none" w:sz="0" w:space="0" w:color="auto"/>
            <w:right w:val="none" w:sz="0" w:space="0" w:color="auto"/>
          </w:divBdr>
        </w:div>
        <w:div w:id="328559436">
          <w:marLeft w:val="0"/>
          <w:marRight w:val="0"/>
          <w:marTop w:val="120"/>
          <w:marBottom w:val="120"/>
          <w:divBdr>
            <w:top w:val="none" w:sz="0" w:space="0" w:color="auto"/>
            <w:left w:val="none" w:sz="0" w:space="0" w:color="auto"/>
            <w:bottom w:val="none" w:sz="0" w:space="0" w:color="auto"/>
            <w:right w:val="none" w:sz="0" w:space="0" w:color="auto"/>
          </w:divBdr>
        </w:div>
        <w:div w:id="289359667">
          <w:marLeft w:val="0"/>
          <w:marRight w:val="0"/>
          <w:marTop w:val="120"/>
          <w:marBottom w:val="120"/>
          <w:divBdr>
            <w:top w:val="none" w:sz="0" w:space="0" w:color="auto"/>
            <w:left w:val="none" w:sz="0" w:space="0" w:color="auto"/>
            <w:bottom w:val="none" w:sz="0" w:space="0" w:color="auto"/>
            <w:right w:val="none" w:sz="0" w:space="0" w:color="auto"/>
          </w:divBdr>
        </w:div>
        <w:div w:id="64956618">
          <w:marLeft w:val="0"/>
          <w:marRight w:val="0"/>
          <w:marTop w:val="120"/>
          <w:marBottom w:val="120"/>
          <w:divBdr>
            <w:top w:val="none" w:sz="0" w:space="0" w:color="auto"/>
            <w:left w:val="none" w:sz="0" w:space="0" w:color="auto"/>
            <w:bottom w:val="none" w:sz="0" w:space="0" w:color="auto"/>
            <w:right w:val="none" w:sz="0" w:space="0" w:color="auto"/>
          </w:divBdr>
        </w:div>
        <w:div w:id="1909224406">
          <w:marLeft w:val="0"/>
          <w:marRight w:val="0"/>
          <w:marTop w:val="120"/>
          <w:marBottom w:val="120"/>
          <w:divBdr>
            <w:top w:val="none" w:sz="0" w:space="0" w:color="auto"/>
            <w:left w:val="none" w:sz="0" w:space="0" w:color="auto"/>
            <w:bottom w:val="none" w:sz="0" w:space="0" w:color="auto"/>
            <w:right w:val="none" w:sz="0" w:space="0" w:color="auto"/>
          </w:divBdr>
        </w:div>
        <w:div w:id="2059892746">
          <w:marLeft w:val="0"/>
          <w:marRight w:val="0"/>
          <w:marTop w:val="120"/>
          <w:marBottom w:val="120"/>
          <w:divBdr>
            <w:top w:val="none" w:sz="0" w:space="0" w:color="auto"/>
            <w:left w:val="none" w:sz="0" w:space="0" w:color="auto"/>
            <w:bottom w:val="none" w:sz="0" w:space="0" w:color="auto"/>
            <w:right w:val="none" w:sz="0" w:space="0" w:color="auto"/>
          </w:divBdr>
        </w:div>
        <w:div w:id="839200007">
          <w:marLeft w:val="0"/>
          <w:marRight w:val="0"/>
          <w:marTop w:val="120"/>
          <w:marBottom w:val="120"/>
          <w:divBdr>
            <w:top w:val="none" w:sz="0" w:space="0" w:color="auto"/>
            <w:left w:val="none" w:sz="0" w:space="0" w:color="auto"/>
            <w:bottom w:val="none" w:sz="0" w:space="0" w:color="auto"/>
            <w:right w:val="none" w:sz="0" w:space="0" w:color="auto"/>
          </w:divBdr>
        </w:div>
        <w:div w:id="155076596">
          <w:marLeft w:val="0"/>
          <w:marRight w:val="0"/>
          <w:marTop w:val="120"/>
          <w:marBottom w:val="120"/>
          <w:divBdr>
            <w:top w:val="none" w:sz="0" w:space="0" w:color="auto"/>
            <w:left w:val="none" w:sz="0" w:space="0" w:color="auto"/>
            <w:bottom w:val="none" w:sz="0" w:space="0" w:color="auto"/>
            <w:right w:val="none" w:sz="0" w:space="0" w:color="auto"/>
          </w:divBdr>
        </w:div>
        <w:div w:id="2031448300">
          <w:marLeft w:val="0"/>
          <w:marRight w:val="0"/>
          <w:marTop w:val="120"/>
          <w:marBottom w:val="120"/>
          <w:divBdr>
            <w:top w:val="none" w:sz="0" w:space="0" w:color="auto"/>
            <w:left w:val="none" w:sz="0" w:space="0" w:color="auto"/>
            <w:bottom w:val="none" w:sz="0" w:space="0" w:color="auto"/>
            <w:right w:val="none" w:sz="0" w:space="0" w:color="auto"/>
          </w:divBdr>
        </w:div>
        <w:div w:id="1014577715">
          <w:marLeft w:val="0"/>
          <w:marRight w:val="0"/>
          <w:marTop w:val="120"/>
          <w:marBottom w:val="120"/>
          <w:divBdr>
            <w:top w:val="none" w:sz="0" w:space="0" w:color="auto"/>
            <w:left w:val="none" w:sz="0" w:space="0" w:color="auto"/>
            <w:bottom w:val="none" w:sz="0" w:space="0" w:color="auto"/>
            <w:right w:val="none" w:sz="0" w:space="0" w:color="auto"/>
          </w:divBdr>
        </w:div>
        <w:div w:id="1293711921">
          <w:marLeft w:val="0"/>
          <w:marRight w:val="0"/>
          <w:marTop w:val="120"/>
          <w:marBottom w:val="120"/>
          <w:divBdr>
            <w:top w:val="none" w:sz="0" w:space="0" w:color="auto"/>
            <w:left w:val="none" w:sz="0" w:space="0" w:color="auto"/>
            <w:bottom w:val="none" w:sz="0" w:space="0" w:color="auto"/>
            <w:right w:val="none" w:sz="0" w:space="0" w:color="auto"/>
          </w:divBdr>
        </w:div>
        <w:div w:id="1437211345">
          <w:marLeft w:val="0"/>
          <w:marRight w:val="0"/>
          <w:marTop w:val="120"/>
          <w:marBottom w:val="120"/>
          <w:divBdr>
            <w:top w:val="none" w:sz="0" w:space="0" w:color="auto"/>
            <w:left w:val="none" w:sz="0" w:space="0" w:color="auto"/>
            <w:bottom w:val="none" w:sz="0" w:space="0" w:color="auto"/>
            <w:right w:val="none" w:sz="0" w:space="0" w:color="auto"/>
          </w:divBdr>
        </w:div>
        <w:div w:id="1361122103">
          <w:marLeft w:val="0"/>
          <w:marRight w:val="0"/>
          <w:marTop w:val="120"/>
          <w:marBottom w:val="120"/>
          <w:divBdr>
            <w:top w:val="none" w:sz="0" w:space="0" w:color="auto"/>
            <w:left w:val="none" w:sz="0" w:space="0" w:color="auto"/>
            <w:bottom w:val="none" w:sz="0" w:space="0" w:color="auto"/>
            <w:right w:val="none" w:sz="0" w:space="0" w:color="auto"/>
          </w:divBdr>
        </w:div>
      </w:divsChild>
    </w:div>
    <w:div w:id="741028341">
      <w:bodyDiv w:val="1"/>
      <w:marLeft w:val="0"/>
      <w:marRight w:val="0"/>
      <w:marTop w:val="0"/>
      <w:marBottom w:val="0"/>
      <w:divBdr>
        <w:top w:val="none" w:sz="0" w:space="0" w:color="auto"/>
        <w:left w:val="none" w:sz="0" w:space="0" w:color="auto"/>
        <w:bottom w:val="none" w:sz="0" w:space="0" w:color="auto"/>
        <w:right w:val="none" w:sz="0" w:space="0" w:color="auto"/>
      </w:divBdr>
      <w:divsChild>
        <w:div w:id="2044941576">
          <w:marLeft w:val="0"/>
          <w:marRight w:val="0"/>
          <w:marTop w:val="120"/>
          <w:marBottom w:val="120"/>
          <w:divBdr>
            <w:top w:val="none" w:sz="0" w:space="0" w:color="auto"/>
            <w:left w:val="none" w:sz="0" w:space="0" w:color="auto"/>
            <w:bottom w:val="none" w:sz="0" w:space="0" w:color="auto"/>
            <w:right w:val="none" w:sz="0" w:space="0" w:color="auto"/>
          </w:divBdr>
        </w:div>
        <w:div w:id="1088817158">
          <w:marLeft w:val="0"/>
          <w:marRight w:val="0"/>
          <w:marTop w:val="120"/>
          <w:marBottom w:val="120"/>
          <w:divBdr>
            <w:top w:val="none" w:sz="0" w:space="0" w:color="auto"/>
            <w:left w:val="none" w:sz="0" w:space="0" w:color="auto"/>
            <w:bottom w:val="none" w:sz="0" w:space="0" w:color="auto"/>
            <w:right w:val="none" w:sz="0" w:space="0" w:color="auto"/>
          </w:divBdr>
        </w:div>
        <w:div w:id="1580820587">
          <w:marLeft w:val="0"/>
          <w:marRight w:val="0"/>
          <w:marTop w:val="120"/>
          <w:marBottom w:val="120"/>
          <w:divBdr>
            <w:top w:val="none" w:sz="0" w:space="0" w:color="auto"/>
            <w:left w:val="none" w:sz="0" w:space="0" w:color="auto"/>
            <w:bottom w:val="none" w:sz="0" w:space="0" w:color="auto"/>
            <w:right w:val="none" w:sz="0" w:space="0" w:color="auto"/>
          </w:divBdr>
        </w:div>
        <w:div w:id="411514096">
          <w:marLeft w:val="0"/>
          <w:marRight w:val="0"/>
          <w:marTop w:val="120"/>
          <w:marBottom w:val="120"/>
          <w:divBdr>
            <w:top w:val="none" w:sz="0" w:space="0" w:color="auto"/>
            <w:left w:val="none" w:sz="0" w:space="0" w:color="auto"/>
            <w:bottom w:val="none" w:sz="0" w:space="0" w:color="auto"/>
            <w:right w:val="none" w:sz="0" w:space="0" w:color="auto"/>
          </w:divBdr>
        </w:div>
        <w:div w:id="96875628">
          <w:marLeft w:val="0"/>
          <w:marRight w:val="0"/>
          <w:marTop w:val="120"/>
          <w:marBottom w:val="120"/>
          <w:divBdr>
            <w:top w:val="none" w:sz="0" w:space="0" w:color="auto"/>
            <w:left w:val="none" w:sz="0" w:space="0" w:color="auto"/>
            <w:bottom w:val="none" w:sz="0" w:space="0" w:color="auto"/>
            <w:right w:val="none" w:sz="0" w:space="0" w:color="auto"/>
          </w:divBdr>
        </w:div>
        <w:div w:id="969479520">
          <w:marLeft w:val="0"/>
          <w:marRight w:val="0"/>
          <w:marTop w:val="120"/>
          <w:marBottom w:val="120"/>
          <w:divBdr>
            <w:top w:val="none" w:sz="0" w:space="0" w:color="auto"/>
            <w:left w:val="none" w:sz="0" w:space="0" w:color="auto"/>
            <w:bottom w:val="none" w:sz="0" w:space="0" w:color="auto"/>
            <w:right w:val="none" w:sz="0" w:space="0" w:color="auto"/>
          </w:divBdr>
        </w:div>
        <w:div w:id="235213554">
          <w:marLeft w:val="0"/>
          <w:marRight w:val="0"/>
          <w:marTop w:val="120"/>
          <w:marBottom w:val="120"/>
          <w:divBdr>
            <w:top w:val="none" w:sz="0" w:space="0" w:color="auto"/>
            <w:left w:val="none" w:sz="0" w:space="0" w:color="auto"/>
            <w:bottom w:val="none" w:sz="0" w:space="0" w:color="auto"/>
            <w:right w:val="none" w:sz="0" w:space="0" w:color="auto"/>
          </w:divBdr>
        </w:div>
        <w:div w:id="1720668425">
          <w:marLeft w:val="0"/>
          <w:marRight w:val="0"/>
          <w:marTop w:val="120"/>
          <w:marBottom w:val="120"/>
          <w:divBdr>
            <w:top w:val="none" w:sz="0" w:space="0" w:color="auto"/>
            <w:left w:val="none" w:sz="0" w:space="0" w:color="auto"/>
            <w:bottom w:val="none" w:sz="0" w:space="0" w:color="auto"/>
            <w:right w:val="none" w:sz="0" w:space="0" w:color="auto"/>
          </w:divBdr>
        </w:div>
        <w:div w:id="1485929278">
          <w:marLeft w:val="0"/>
          <w:marRight w:val="0"/>
          <w:marTop w:val="120"/>
          <w:marBottom w:val="120"/>
          <w:divBdr>
            <w:top w:val="none" w:sz="0" w:space="0" w:color="auto"/>
            <w:left w:val="none" w:sz="0" w:space="0" w:color="auto"/>
            <w:bottom w:val="none" w:sz="0" w:space="0" w:color="auto"/>
            <w:right w:val="none" w:sz="0" w:space="0" w:color="auto"/>
          </w:divBdr>
        </w:div>
        <w:div w:id="518128798">
          <w:marLeft w:val="0"/>
          <w:marRight w:val="0"/>
          <w:marTop w:val="120"/>
          <w:marBottom w:val="120"/>
          <w:divBdr>
            <w:top w:val="none" w:sz="0" w:space="0" w:color="auto"/>
            <w:left w:val="none" w:sz="0" w:space="0" w:color="auto"/>
            <w:bottom w:val="none" w:sz="0" w:space="0" w:color="auto"/>
            <w:right w:val="none" w:sz="0" w:space="0" w:color="auto"/>
          </w:divBdr>
        </w:div>
        <w:div w:id="548224661">
          <w:marLeft w:val="0"/>
          <w:marRight w:val="0"/>
          <w:marTop w:val="120"/>
          <w:marBottom w:val="120"/>
          <w:divBdr>
            <w:top w:val="none" w:sz="0" w:space="0" w:color="auto"/>
            <w:left w:val="none" w:sz="0" w:space="0" w:color="auto"/>
            <w:bottom w:val="none" w:sz="0" w:space="0" w:color="auto"/>
            <w:right w:val="none" w:sz="0" w:space="0" w:color="auto"/>
          </w:divBdr>
        </w:div>
        <w:div w:id="1833332577">
          <w:marLeft w:val="0"/>
          <w:marRight w:val="0"/>
          <w:marTop w:val="120"/>
          <w:marBottom w:val="120"/>
          <w:divBdr>
            <w:top w:val="none" w:sz="0" w:space="0" w:color="auto"/>
            <w:left w:val="none" w:sz="0" w:space="0" w:color="auto"/>
            <w:bottom w:val="none" w:sz="0" w:space="0" w:color="auto"/>
            <w:right w:val="none" w:sz="0" w:space="0" w:color="auto"/>
          </w:divBdr>
        </w:div>
        <w:div w:id="90392096">
          <w:marLeft w:val="0"/>
          <w:marRight w:val="0"/>
          <w:marTop w:val="120"/>
          <w:marBottom w:val="120"/>
          <w:divBdr>
            <w:top w:val="none" w:sz="0" w:space="0" w:color="auto"/>
            <w:left w:val="none" w:sz="0" w:space="0" w:color="auto"/>
            <w:bottom w:val="none" w:sz="0" w:space="0" w:color="auto"/>
            <w:right w:val="none" w:sz="0" w:space="0" w:color="auto"/>
          </w:divBdr>
        </w:div>
        <w:div w:id="1459952799">
          <w:marLeft w:val="0"/>
          <w:marRight w:val="0"/>
          <w:marTop w:val="120"/>
          <w:marBottom w:val="120"/>
          <w:divBdr>
            <w:top w:val="none" w:sz="0" w:space="0" w:color="auto"/>
            <w:left w:val="none" w:sz="0" w:space="0" w:color="auto"/>
            <w:bottom w:val="none" w:sz="0" w:space="0" w:color="auto"/>
            <w:right w:val="none" w:sz="0" w:space="0" w:color="auto"/>
          </w:divBdr>
        </w:div>
        <w:div w:id="544488020">
          <w:marLeft w:val="0"/>
          <w:marRight w:val="0"/>
          <w:marTop w:val="120"/>
          <w:marBottom w:val="120"/>
          <w:divBdr>
            <w:top w:val="none" w:sz="0" w:space="0" w:color="auto"/>
            <w:left w:val="none" w:sz="0" w:space="0" w:color="auto"/>
            <w:bottom w:val="none" w:sz="0" w:space="0" w:color="auto"/>
            <w:right w:val="none" w:sz="0" w:space="0" w:color="auto"/>
          </w:divBdr>
        </w:div>
        <w:div w:id="869533827">
          <w:marLeft w:val="0"/>
          <w:marRight w:val="0"/>
          <w:marTop w:val="120"/>
          <w:marBottom w:val="120"/>
          <w:divBdr>
            <w:top w:val="none" w:sz="0" w:space="0" w:color="auto"/>
            <w:left w:val="none" w:sz="0" w:space="0" w:color="auto"/>
            <w:bottom w:val="none" w:sz="0" w:space="0" w:color="auto"/>
            <w:right w:val="none" w:sz="0" w:space="0" w:color="auto"/>
          </w:divBdr>
        </w:div>
        <w:div w:id="304705342">
          <w:marLeft w:val="0"/>
          <w:marRight w:val="0"/>
          <w:marTop w:val="120"/>
          <w:marBottom w:val="120"/>
          <w:divBdr>
            <w:top w:val="none" w:sz="0" w:space="0" w:color="auto"/>
            <w:left w:val="none" w:sz="0" w:space="0" w:color="auto"/>
            <w:bottom w:val="none" w:sz="0" w:space="0" w:color="auto"/>
            <w:right w:val="none" w:sz="0" w:space="0" w:color="auto"/>
          </w:divBdr>
        </w:div>
        <w:div w:id="1427724521">
          <w:marLeft w:val="0"/>
          <w:marRight w:val="0"/>
          <w:marTop w:val="120"/>
          <w:marBottom w:val="120"/>
          <w:divBdr>
            <w:top w:val="none" w:sz="0" w:space="0" w:color="auto"/>
            <w:left w:val="none" w:sz="0" w:space="0" w:color="auto"/>
            <w:bottom w:val="none" w:sz="0" w:space="0" w:color="auto"/>
            <w:right w:val="none" w:sz="0" w:space="0" w:color="auto"/>
          </w:divBdr>
        </w:div>
        <w:div w:id="2063942218">
          <w:marLeft w:val="0"/>
          <w:marRight w:val="0"/>
          <w:marTop w:val="120"/>
          <w:marBottom w:val="120"/>
          <w:divBdr>
            <w:top w:val="none" w:sz="0" w:space="0" w:color="auto"/>
            <w:left w:val="none" w:sz="0" w:space="0" w:color="auto"/>
            <w:bottom w:val="none" w:sz="0" w:space="0" w:color="auto"/>
            <w:right w:val="none" w:sz="0" w:space="0" w:color="auto"/>
          </w:divBdr>
        </w:div>
      </w:divsChild>
    </w:div>
    <w:div w:id="790898360">
      <w:bodyDiv w:val="1"/>
      <w:marLeft w:val="0"/>
      <w:marRight w:val="0"/>
      <w:marTop w:val="0"/>
      <w:marBottom w:val="0"/>
      <w:divBdr>
        <w:top w:val="none" w:sz="0" w:space="0" w:color="auto"/>
        <w:left w:val="none" w:sz="0" w:space="0" w:color="auto"/>
        <w:bottom w:val="none" w:sz="0" w:space="0" w:color="auto"/>
        <w:right w:val="none" w:sz="0" w:space="0" w:color="auto"/>
      </w:divBdr>
    </w:div>
    <w:div w:id="796871302">
      <w:bodyDiv w:val="1"/>
      <w:marLeft w:val="0"/>
      <w:marRight w:val="0"/>
      <w:marTop w:val="0"/>
      <w:marBottom w:val="0"/>
      <w:divBdr>
        <w:top w:val="none" w:sz="0" w:space="0" w:color="auto"/>
        <w:left w:val="none" w:sz="0" w:space="0" w:color="auto"/>
        <w:bottom w:val="none" w:sz="0" w:space="0" w:color="auto"/>
        <w:right w:val="none" w:sz="0" w:space="0" w:color="auto"/>
      </w:divBdr>
    </w:div>
    <w:div w:id="855080184">
      <w:bodyDiv w:val="1"/>
      <w:marLeft w:val="0"/>
      <w:marRight w:val="0"/>
      <w:marTop w:val="0"/>
      <w:marBottom w:val="0"/>
      <w:divBdr>
        <w:top w:val="none" w:sz="0" w:space="0" w:color="auto"/>
        <w:left w:val="none" w:sz="0" w:space="0" w:color="auto"/>
        <w:bottom w:val="none" w:sz="0" w:space="0" w:color="auto"/>
        <w:right w:val="none" w:sz="0" w:space="0" w:color="auto"/>
      </w:divBdr>
    </w:div>
    <w:div w:id="900098629">
      <w:bodyDiv w:val="1"/>
      <w:marLeft w:val="0"/>
      <w:marRight w:val="0"/>
      <w:marTop w:val="0"/>
      <w:marBottom w:val="0"/>
      <w:divBdr>
        <w:top w:val="none" w:sz="0" w:space="0" w:color="auto"/>
        <w:left w:val="none" w:sz="0" w:space="0" w:color="auto"/>
        <w:bottom w:val="none" w:sz="0" w:space="0" w:color="auto"/>
        <w:right w:val="none" w:sz="0" w:space="0" w:color="auto"/>
      </w:divBdr>
    </w:div>
    <w:div w:id="905870858">
      <w:bodyDiv w:val="1"/>
      <w:marLeft w:val="0"/>
      <w:marRight w:val="0"/>
      <w:marTop w:val="0"/>
      <w:marBottom w:val="0"/>
      <w:divBdr>
        <w:top w:val="none" w:sz="0" w:space="0" w:color="auto"/>
        <w:left w:val="none" w:sz="0" w:space="0" w:color="auto"/>
        <w:bottom w:val="none" w:sz="0" w:space="0" w:color="auto"/>
        <w:right w:val="none" w:sz="0" w:space="0" w:color="auto"/>
      </w:divBdr>
    </w:div>
    <w:div w:id="944507252">
      <w:bodyDiv w:val="1"/>
      <w:marLeft w:val="0"/>
      <w:marRight w:val="0"/>
      <w:marTop w:val="0"/>
      <w:marBottom w:val="0"/>
      <w:divBdr>
        <w:top w:val="none" w:sz="0" w:space="0" w:color="auto"/>
        <w:left w:val="none" w:sz="0" w:space="0" w:color="auto"/>
        <w:bottom w:val="none" w:sz="0" w:space="0" w:color="auto"/>
        <w:right w:val="none" w:sz="0" w:space="0" w:color="auto"/>
      </w:divBdr>
    </w:div>
    <w:div w:id="1067342461">
      <w:bodyDiv w:val="1"/>
      <w:marLeft w:val="0"/>
      <w:marRight w:val="0"/>
      <w:marTop w:val="0"/>
      <w:marBottom w:val="0"/>
      <w:divBdr>
        <w:top w:val="none" w:sz="0" w:space="0" w:color="auto"/>
        <w:left w:val="none" w:sz="0" w:space="0" w:color="auto"/>
        <w:bottom w:val="none" w:sz="0" w:space="0" w:color="auto"/>
        <w:right w:val="none" w:sz="0" w:space="0" w:color="auto"/>
      </w:divBdr>
      <w:divsChild>
        <w:div w:id="848252541">
          <w:marLeft w:val="0"/>
          <w:marRight w:val="0"/>
          <w:marTop w:val="120"/>
          <w:marBottom w:val="120"/>
          <w:divBdr>
            <w:top w:val="none" w:sz="0" w:space="0" w:color="auto"/>
            <w:left w:val="none" w:sz="0" w:space="0" w:color="auto"/>
            <w:bottom w:val="none" w:sz="0" w:space="0" w:color="auto"/>
            <w:right w:val="none" w:sz="0" w:space="0" w:color="auto"/>
          </w:divBdr>
        </w:div>
        <w:div w:id="921644503">
          <w:marLeft w:val="0"/>
          <w:marRight w:val="0"/>
          <w:marTop w:val="120"/>
          <w:marBottom w:val="120"/>
          <w:divBdr>
            <w:top w:val="none" w:sz="0" w:space="0" w:color="auto"/>
            <w:left w:val="none" w:sz="0" w:space="0" w:color="auto"/>
            <w:bottom w:val="none" w:sz="0" w:space="0" w:color="auto"/>
            <w:right w:val="none" w:sz="0" w:space="0" w:color="auto"/>
          </w:divBdr>
        </w:div>
        <w:div w:id="966859872">
          <w:marLeft w:val="0"/>
          <w:marRight w:val="0"/>
          <w:marTop w:val="120"/>
          <w:marBottom w:val="120"/>
          <w:divBdr>
            <w:top w:val="none" w:sz="0" w:space="0" w:color="auto"/>
            <w:left w:val="none" w:sz="0" w:space="0" w:color="auto"/>
            <w:bottom w:val="none" w:sz="0" w:space="0" w:color="auto"/>
            <w:right w:val="none" w:sz="0" w:space="0" w:color="auto"/>
          </w:divBdr>
        </w:div>
        <w:div w:id="820973021">
          <w:marLeft w:val="0"/>
          <w:marRight w:val="0"/>
          <w:marTop w:val="120"/>
          <w:marBottom w:val="120"/>
          <w:divBdr>
            <w:top w:val="none" w:sz="0" w:space="0" w:color="auto"/>
            <w:left w:val="none" w:sz="0" w:space="0" w:color="auto"/>
            <w:bottom w:val="none" w:sz="0" w:space="0" w:color="auto"/>
            <w:right w:val="none" w:sz="0" w:space="0" w:color="auto"/>
          </w:divBdr>
        </w:div>
        <w:div w:id="1389380651">
          <w:marLeft w:val="0"/>
          <w:marRight w:val="0"/>
          <w:marTop w:val="120"/>
          <w:marBottom w:val="120"/>
          <w:divBdr>
            <w:top w:val="none" w:sz="0" w:space="0" w:color="auto"/>
            <w:left w:val="none" w:sz="0" w:space="0" w:color="auto"/>
            <w:bottom w:val="none" w:sz="0" w:space="0" w:color="auto"/>
            <w:right w:val="none" w:sz="0" w:space="0" w:color="auto"/>
          </w:divBdr>
        </w:div>
        <w:div w:id="1133601600">
          <w:marLeft w:val="0"/>
          <w:marRight w:val="0"/>
          <w:marTop w:val="120"/>
          <w:marBottom w:val="120"/>
          <w:divBdr>
            <w:top w:val="none" w:sz="0" w:space="0" w:color="auto"/>
            <w:left w:val="none" w:sz="0" w:space="0" w:color="auto"/>
            <w:bottom w:val="none" w:sz="0" w:space="0" w:color="auto"/>
            <w:right w:val="none" w:sz="0" w:space="0" w:color="auto"/>
          </w:divBdr>
        </w:div>
        <w:div w:id="658965057">
          <w:marLeft w:val="0"/>
          <w:marRight w:val="0"/>
          <w:marTop w:val="120"/>
          <w:marBottom w:val="120"/>
          <w:divBdr>
            <w:top w:val="none" w:sz="0" w:space="0" w:color="auto"/>
            <w:left w:val="none" w:sz="0" w:space="0" w:color="auto"/>
            <w:bottom w:val="none" w:sz="0" w:space="0" w:color="auto"/>
            <w:right w:val="none" w:sz="0" w:space="0" w:color="auto"/>
          </w:divBdr>
        </w:div>
        <w:div w:id="1868641259">
          <w:marLeft w:val="0"/>
          <w:marRight w:val="0"/>
          <w:marTop w:val="120"/>
          <w:marBottom w:val="120"/>
          <w:divBdr>
            <w:top w:val="none" w:sz="0" w:space="0" w:color="auto"/>
            <w:left w:val="none" w:sz="0" w:space="0" w:color="auto"/>
            <w:bottom w:val="none" w:sz="0" w:space="0" w:color="auto"/>
            <w:right w:val="none" w:sz="0" w:space="0" w:color="auto"/>
          </w:divBdr>
        </w:div>
        <w:div w:id="1532916409">
          <w:marLeft w:val="0"/>
          <w:marRight w:val="0"/>
          <w:marTop w:val="120"/>
          <w:marBottom w:val="120"/>
          <w:divBdr>
            <w:top w:val="none" w:sz="0" w:space="0" w:color="auto"/>
            <w:left w:val="none" w:sz="0" w:space="0" w:color="auto"/>
            <w:bottom w:val="none" w:sz="0" w:space="0" w:color="auto"/>
            <w:right w:val="none" w:sz="0" w:space="0" w:color="auto"/>
          </w:divBdr>
        </w:div>
        <w:div w:id="1233737247">
          <w:marLeft w:val="0"/>
          <w:marRight w:val="0"/>
          <w:marTop w:val="120"/>
          <w:marBottom w:val="120"/>
          <w:divBdr>
            <w:top w:val="none" w:sz="0" w:space="0" w:color="auto"/>
            <w:left w:val="none" w:sz="0" w:space="0" w:color="auto"/>
            <w:bottom w:val="none" w:sz="0" w:space="0" w:color="auto"/>
            <w:right w:val="none" w:sz="0" w:space="0" w:color="auto"/>
          </w:divBdr>
        </w:div>
        <w:div w:id="2010714568">
          <w:marLeft w:val="0"/>
          <w:marRight w:val="0"/>
          <w:marTop w:val="120"/>
          <w:marBottom w:val="120"/>
          <w:divBdr>
            <w:top w:val="none" w:sz="0" w:space="0" w:color="auto"/>
            <w:left w:val="none" w:sz="0" w:space="0" w:color="auto"/>
            <w:bottom w:val="none" w:sz="0" w:space="0" w:color="auto"/>
            <w:right w:val="none" w:sz="0" w:space="0" w:color="auto"/>
          </w:divBdr>
        </w:div>
        <w:div w:id="1111435438">
          <w:marLeft w:val="0"/>
          <w:marRight w:val="0"/>
          <w:marTop w:val="120"/>
          <w:marBottom w:val="120"/>
          <w:divBdr>
            <w:top w:val="none" w:sz="0" w:space="0" w:color="auto"/>
            <w:left w:val="none" w:sz="0" w:space="0" w:color="auto"/>
            <w:bottom w:val="none" w:sz="0" w:space="0" w:color="auto"/>
            <w:right w:val="none" w:sz="0" w:space="0" w:color="auto"/>
          </w:divBdr>
        </w:div>
        <w:div w:id="915212587">
          <w:marLeft w:val="0"/>
          <w:marRight w:val="0"/>
          <w:marTop w:val="120"/>
          <w:marBottom w:val="120"/>
          <w:divBdr>
            <w:top w:val="none" w:sz="0" w:space="0" w:color="auto"/>
            <w:left w:val="none" w:sz="0" w:space="0" w:color="auto"/>
            <w:bottom w:val="none" w:sz="0" w:space="0" w:color="auto"/>
            <w:right w:val="none" w:sz="0" w:space="0" w:color="auto"/>
          </w:divBdr>
        </w:div>
      </w:divsChild>
    </w:div>
    <w:div w:id="1108893295">
      <w:bodyDiv w:val="1"/>
      <w:marLeft w:val="0"/>
      <w:marRight w:val="0"/>
      <w:marTop w:val="0"/>
      <w:marBottom w:val="0"/>
      <w:divBdr>
        <w:top w:val="none" w:sz="0" w:space="0" w:color="auto"/>
        <w:left w:val="none" w:sz="0" w:space="0" w:color="auto"/>
        <w:bottom w:val="none" w:sz="0" w:space="0" w:color="auto"/>
        <w:right w:val="none" w:sz="0" w:space="0" w:color="auto"/>
      </w:divBdr>
    </w:div>
    <w:div w:id="1129394274">
      <w:bodyDiv w:val="1"/>
      <w:marLeft w:val="0"/>
      <w:marRight w:val="0"/>
      <w:marTop w:val="0"/>
      <w:marBottom w:val="0"/>
      <w:divBdr>
        <w:top w:val="none" w:sz="0" w:space="0" w:color="auto"/>
        <w:left w:val="none" w:sz="0" w:space="0" w:color="auto"/>
        <w:bottom w:val="none" w:sz="0" w:space="0" w:color="auto"/>
        <w:right w:val="none" w:sz="0" w:space="0" w:color="auto"/>
      </w:divBdr>
    </w:div>
    <w:div w:id="1201475398">
      <w:bodyDiv w:val="1"/>
      <w:marLeft w:val="0"/>
      <w:marRight w:val="0"/>
      <w:marTop w:val="0"/>
      <w:marBottom w:val="0"/>
      <w:divBdr>
        <w:top w:val="none" w:sz="0" w:space="0" w:color="auto"/>
        <w:left w:val="none" w:sz="0" w:space="0" w:color="auto"/>
        <w:bottom w:val="none" w:sz="0" w:space="0" w:color="auto"/>
        <w:right w:val="none" w:sz="0" w:space="0" w:color="auto"/>
      </w:divBdr>
    </w:div>
    <w:div w:id="1236159266">
      <w:bodyDiv w:val="1"/>
      <w:marLeft w:val="0"/>
      <w:marRight w:val="0"/>
      <w:marTop w:val="0"/>
      <w:marBottom w:val="0"/>
      <w:divBdr>
        <w:top w:val="none" w:sz="0" w:space="0" w:color="auto"/>
        <w:left w:val="none" w:sz="0" w:space="0" w:color="auto"/>
        <w:bottom w:val="none" w:sz="0" w:space="0" w:color="auto"/>
        <w:right w:val="none" w:sz="0" w:space="0" w:color="auto"/>
      </w:divBdr>
      <w:divsChild>
        <w:div w:id="1432093025">
          <w:marLeft w:val="0"/>
          <w:marRight w:val="0"/>
          <w:marTop w:val="120"/>
          <w:marBottom w:val="120"/>
          <w:divBdr>
            <w:top w:val="none" w:sz="0" w:space="0" w:color="auto"/>
            <w:left w:val="none" w:sz="0" w:space="0" w:color="auto"/>
            <w:bottom w:val="none" w:sz="0" w:space="0" w:color="auto"/>
            <w:right w:val="none" w:sz="0" w:space="0" w:color="auto"/>
          </w:divBdr>
        </w:div>
        <w:div w:id="1566915340">
          <w:marLeft w:val="0"/>
          <w:marRight w:val="0"/>
          <w:marTop w:val="120"/>
          <w:marBottom w:val="120"/>
          <w:divBdr>
            <w:top w:val="none" w:sz="0" w:space="0" w:color="auto"/>
            <w:left w:val="none" w:sz="0" w:space="0" w:color="auto"/>
            <w:bottom w:val="none" w:sz="0" w:space="0" w:color="auto"/>
            <w:right w:val="none" w:sz="0" w:space="0" w:color="auto"/>
          </w:divBdr>
        </w:div>
        <w:div w:id="1485467786">
          <w:marLeft w:val="0"/>
          <w:marRight w:val="0"/>
          <w:marTop w:val="120"/>
          <w:marBottom w:val="120"/>
          <w:divBdr>
            <w:top w:val="none" w:sz="0" w:space="0" w:color="auto"/>
            <w:left w:val="none" w:sz="0" w:space="0" w:color="auto"/>
            <w:bottom w:val="none" w:sz="0" w:space="0" w:color="auto"/>
            <w:right w:val="none" w:sz="0" w:space="0" w:color="auto"/>
          </w:divBdr>
        </w:div>
        <w:div w:id="2074809780">
          <w:marLeft w:val="0"/>
          <w:marRight w:val="0"/>
          <w:marTop w:val="120"/>
          <w:marBottom w:val="120"/>
          <w:divBdr>
            <w:top w:val="none" w:sz="0" w:space="0" w:color="auto"/>
            <w:left w:val="none" w:sz="0" w:space="0" w:color="auto"/>
            <w:bottom w:val="none" w:sz="0" w:space="0" w:color="auto"/>
            <w:right w:val="none" w:sz="0" w:space="0" w:color="auto"/>
          </w:divBdr>
        </w:div>
        <w:div w:id="846136423">
          <w:marLeft w:val="0"/>
          <w:marRight w:val="0"/>
          <w:marTop w:val="120"/>
          <w:marBottom w:val="120"/>
          <w:divBdr>
            <w:top w:val="none" w:sz="0" w:space="0" w:color="auto"/>
            <w:left w:val="none" w:sz="0" w:space="0" w:color="auto"/>
            <w:bottom w:val="none" w:sz="0" w:space="0" w:color="auto"/>
            <w:right w:val="none" w:sz="0" w:space="0" w:color="auto"/>
          </w:divBdr>
        </w:div>
        <w:div w:id="1686250789">
          <w:marLeft w:val="0"/>
          <w:marRight w:val="0"/>
          <w:marTop w:val="120"/>
          <w:marBottom w:val="120"/>
          <w:divBdr>
            <w:top w:val="none" w:sz="0" w:space="0" w:color="auto"/>
            <w:left w:val="none" w:sz="0" w:space="0" w:color="auto"/>
            <w:bottom w:val="none" w:sz="0" w:space="0" w:color="auto"/>
            <w:right w:val="none" w:sz="0" w:space="0" w:color="auto"/>
          </w:divBdr>
        </w:div>
        <w:div w:id="187722206">
          <w:marLeft w:val="0"/>
          <w:marRight w:val="0"/>
          <w:marTop w:val="120"/>
          <w:marBottom w:val="120"/>
          <w:divBdr>
            <w:top w:val="none" w:sz="0" w:space="0" w:color="auto"/>
            <w:left w:val="none" w:sz="0" w:space="0" w:color="auto"/>
            <w:bottom w:val="none" w:sz="0" w:space="0" w:color="auto"/>
            <w:right w:val="none" w:sz="0" w:space="0" w:color="auto"/>
          </w:divBdr>
        </w:div>
        <w:div w:id="485125738">
          <w:marLeft w:val="0"/>
          <w:marRight w:val="0"/>
          <w:marTop w:val="120"/>
          <w:marBottom w:val="120"/>
          <w:divBdr>
            <w:top w:val="none" w:sz="0" w:space="0" w:color="auto"/>
            <w:left w:val="none" w:sz="0" w:space="0" w:color="auto"/>
            <w:bottom w:val="none" w:sz="0" w:space="0" w:color="auto"/>
            <w:right w:val="none" w:sz="0" w:space="0" w:color="auto"/>
          </w:divBdr>
        </w:div>
        <w:div w:id="56444051">
          <w:marLeft w:val="0"/>
          <w:marRight w:val="0"/>
          <w:marTop w:val="120"/>
          <w:marBottom w:val="120"/>
          <w:divBdr>
            <w:top w:val="none" w:sz="0" w:space="0" w:color="auto"/>
            <w:left w:val="none" w:sz="0" w:space="0" w:color="auto"/>
            <w:bottom w:val="none" w:sz="0" w:space="0" w:color="auto"/>
            <w:right w:val="none" w:sz="0" w:space="0" w:color="auto"/>
          </w:divBdr>
        </w:div>
        <w:div w:id="1240098504">
          <w:marLeft w:val="0"/>
          <w:marRight w:val="0"/>
          <w:marTop w:val="120"/>
          <w:marBottom w:val="120"/>
          <w:divBdr>
            <w:top w:val="none" w:sz="0" w:space="0" w:color="auto"/>
            <w:left w:val="none" w:sz="0" w:space="0" w:color="auto"/>
            <w:bottom w:val="none" w:sz="0" w:space="0" w:color="auto"/>
            <w:right w:val="none" w:sz="0" w:space="0" w:color="auto"/>
          </w:divBdr>
        </w:div>
        <w:div w:id="1058283752">
          <w:marLeft w:val="0"/>
          <w:marRight w:val="0"/>
          <w:marTop w:val="120"/>
          <w:marBottom w:val="120"/>
          <w:divBdr>
            <w:top w:val="none" w:sz="0" w:space="0" w:color="auto"/>
            <w:left w:val="none" w:sz="0" w:space="0" w:color="auto"/>
            <w:bottom w:val="none" w:sz="0" w:space="0" w:color="auto"/>
            <w:right w:val="none" w:sz="0" w:space="0" w:color="auto"/>
          </w:divBdr>
        </w:div>
        <w:div w:id="71052650">
          <w:marLeft w:val="0"/>
          <w:marRight w:val="0"/>
          <w:marTop w:val="120"/>
          <w:marBottom w:val="120"/>
          <w:divBdr>
            <w:top w:val="none" w:sz="0" w:space="0" w:color="auto"/>
            <w:left w:val="none" w:sz="0" w:space="0" w:color="auto"/>
            <w:bottom w:val="none" w:sz="0" w:space="0" w:color="auto"/>
            <w:right w:val="none" w:sz="0" w:space="0" w:color="auto"/>
          </w:divBdr>
        </w:div>
        <w:div w:id="1225993371">
          <w:marLeft w:val="0"/>
          <w:marRight w:val="0"/>
          <w:marTop w:val="120"/>
          <w:marBottom w:val="120"/>
          <w:divBdr>
            <w:top w:val="none" w:sz="0" w:space="0" w:color="auto"/>
            <w:left w:val="none" w:sz="0" w:space="0" w:color="auto"/>
            <w:bottom w:val="none" w:sz="0" w:space="0" w:color="auto"/>
            <w:right w:val="none" w:sz="0" w:space="0" w:color="auto"/>
          </w:divBdr>
        </w:div>
      </w:divsChild>
    </w:div>
    <w:div w:id="1236936407">
      <w:bodyDiv w:val="1"/>
      <w:marLeft w:val="0"/>
      <w:marRight w:val="0"/>
      <w:marTop w:val="0"/>
      <w:marBottom w:val="0"/>
      <w:divBdr>
        <w:top w:val="none" w:sz="0" w:space="0" w:color="auto"/>
        <w:left w:val="none" w:sz="0" w:space="0" w:color="auto"/>
        <w:bottom w:val="none" w:sz="0" w:space="0" w:color="auto"/>
        <w:right w:val="none" w:sz="0" w:space="0" w:color="auto"/>
      </w:divBdr>
    </w:div>
    <w:div w:id="1333798512">
      <w:bodyDiv w:val="1"/>
      <w:marLeft w:val="0"/>
      <w:marRight w:val="0"/>
      <w:marTop w:val="0"/>
      <w:marBottom w:val="0"/>
      <w:divBdr>
        <w:top w:val="none" w:sz="0" w:space="0" w:color="auto"/>
        <w:left w:val="none" w:sz="0" w:space="0" w:color="auto"/>
        <w:bottom w:val="none" w:sz="0" w:space="0" w:color="auto"/>
        <w:right w:val="none" w:sz="0" w:space="0" w:color="auto"/>
      </w:divBdr>
    </w:div>
    <w:div w:id="1547521487">
      <w:bodyDiv w:val="1"/>
      <w:marLeft w:val="0"/>
      <w:marRight w:val="0"/>
      <w:marTop w:val="0"/>
      <w:marBottom w:val="0"/>
      <w:divBdr>
        <w:top w:val="none" w:sz="0" w:space="0" w:color="auto"/>
        <w:left w:val="none" w:sz="0" w:space="0" w:color="auto"/>
        <w:bottom w:val="none" w:sz="0" w:space="0" w:color="auto"/>
        <w:right w:val="none" w:sz="0" w:space="0" w:color="auto"/>
      </w:divBdr>
    </w:div>
    <w:div w:id="1709790609">
      <w:bodyDiv w:val="1"/>
      <w:marLeft w:val="0"/>
      <w:marRight w:val="0"/>
      <w:marTop w:val="0"/>
      <w:marBottom w:val="0"/>
      <w:divBdr>
        <w:top w:val="none" w:sz="0" w:space="0" w:color="auto"/>
        <w:left w:val="none" w:sz="0" w:space="0" w:color="auto"/>
        <w:bottom w:val="none" w:sz="0" w:space="0" w:color="auto"/>
        <w:right w:val="none" w:sz="0" w:space="0" w:color="auto"/>
      </w:divBdr>
      <w:divsChild>
        <w:div w:id="1338538407">
          <w:marLeft w:val="0"/>
          <w:marRight w:val="0"/>
          <w:marTop w:val="120"/>
          <w:marBottom w:val="120"/>
          <w:divBdr>
            <w:top w:val="none" w:sz="0" w:space="0" w:color="auto"/>
            <w:left w:val="none" w:sz="0" w:space="0" w:color="auto"/>
            <w:bottom w:val="none" w:sz="0" w:space="0" w:color="auto"/>
            <w:right w:val="none" w:sz="0" w:space="0" w:color="auto"/>
          </w:divBdr>
        </w:div>
        <w:div w:id="588540243">
          <w:marLeft w:val="0"/>
          <w:marRight w:val="0"/>
          <w:marTop w:val="120"/>
          <w:marBottom w:val="120"/>
          <w:divBdr>
            <w:top w:val="none" w:sz="0" w:space="0" w:color="auto"/>
            <w:left w:val="none" w:sz="0" w:space="0" w:color="auto"/>
            <w:bottom w:val="none" w:sz="0" w:space="0" w:color="auto"/>
            <w:right w:val="none" w:sz="0" w:space="0" w:color="auto"/>
          </w:divBdr>
        </w:div>
        <w:div w:id="878934461">
          <w:marLeft w:val="0"/>
          <w:marRight w:val="0"/>
          <w:marTop w:val="120"/>
          <w:marBottom w:val="120"/>
          <w:divBdr>
            <w:top w:val="none" w:sz="0" w:space="0" w:color="auto"/>
            <w:left w:val="none" w:sz="0" w:space="0" w:color="auto"/>
            <w:bottom w:val="none" w:sz="0" w:space="0" w:color="auto"/>
            <w:right w:val="none" w:sz="0" w:space="0" w:color="auto"/>
          </w:divBdr>
        </w:div>
        <w:div w:id="2006518338">
          <w:marLeft w:val="0"/>
          <w:marRight w:val="0"/>
          <w:marTop w:val="120"/>
          <w:marBottom w:val="120"/>
          <w:divBdr>
            <w:top w:val="none" w:sz="0" w:space="0" w:color="auto"/>
            <w:left w:val="none" w:sz="0" w:space="0" w:color="auto"/>
            <w:bottom w:val="none" w:sz="0" w:space="0" w:color="auto"/>
            <w:right w:val="none" w:sz="0" w:space="0" w:color="auto"/>
          </w:divBdr>
        </w:div>
        <w:div w:id="176623684">
          <w:marLeft w:val="0"/>
          <w:marRight w:val="0"/>
          <w:marTop w:val="120"/>
          <w:marBottom w:val="120"/>
          <w:divBdr>
            <w:top w:val="none" w:sz="0" w:space="0" w:color="auto"/>
            <w:left w:val="none" w:sz="0" w:space="0" w:color="auto"/>
            <w:bottom w:val="none" w:sz="0" w:space="0" w:color="auto"/>
            <w:right w:val="none" w:sz="0" w:space="0" w:color="auto"/>
          </w:divBdr>
        </w:div>
        <w:div w:id="310138058">
          <w:marLeft w:val="0"/>
          <w:marRight w:val="0"/>
          <w:marTop w:val="120"/>
          <w:marBottom w:val="120"/>
          <w:divBdr>
            <w:top w:val="none" w:sz="0" w:space="0" w:color="auto"/>
            <w:left w:val="none" w:sz="0" w:space="0" w:color="auto"/>
            <w:bottom w:val="none" w:sz="0" w:space="0" w:color="auto"/>
            <w:right w:val="none" w:sz="0" w:space="0" w:color="auto"/>
          </w:divBdr>
        </w:div>
        <w:div w:id="1973822011">
          <w:marLeft w:val="0"/>
          <w:marRight w:val="0"/>
          <w:marTop w:val="120"/>
          <w:marBottom w:val="120"/>
          <w:divBdr>
            <w:top w:val="none" w:sz="0" w:space="0" w:color="auto"/>
            <w:left w:val="none" w:sz="0" w:space="0" w:color="auto"/>
            <w:bottom w:val="none" w:sz="0" w:space="0" w:color="auto"/>
            <w:right w:val="none" w:sz="0" w:space="0" w:color="auto"/>
          </w:divBdr>
        </w:div>
        <w:div w:id="927617292">
          <w:marLeft w:val="0"/>
          <w:marRight w:val="0"/>
          <w:marTop w:val="120"/>
          <w:marBottom w:val="120"/>
          <w:divBdr>
            <w:top w:val="none" w:sz="0" w:space="0" w:color="auto"/>
            <w:left w:val="none" w:sz="0" w:space="0" w:color="auto"/>
            <w:bottom w:val="none" w:sz="0" w:space="0" w:color="auto"/>
            <w:right w:val="none" w:sz="0" w:space="0" w:color="auto"/>
          </w:divBdr>
        </w:div>
        <w:div w:id="1247961320">
          <w:marLeft w:val="0"/>
          <w:marRight w:val="0"/>
          <w:marTop w:val="120"/>
          <w:marBottom w:val="120"/>
          <w:divBdr>
            <w:top w:val="none" w:sz="0" w:space="0" w:color="auto"/>
            <w:left w:val="none" w:sz="0" w:space="0" w:color="auto"/>
            <w:bottom w:val="none" w:sz="0" w:space="0" w:color="auto"/>
            <w:right w:val="none" w:sz="0" w:space="0" w:color="auto"/>
          </w:divBdr>
        </w:div>
        <w:div w:id="1153831460">
          <w:marLeft w:val="0"/>
          <w:marRight w:val="0"/>
          <w:marTop w:val="120"/>
          <w:marBottom w:val="120"/>
          <w:divBdr>
            <w:top w:val="none" w:sz="0" w:space="0" w:color="auto"/>
            <w:left w:val="none" w:sz="0" w:space="0" w:color="auto"/>
            <w:bottom w:val="none" w:sz="0" w:space="0" w:color="auto"/>
            <w:right w:val="none" w:sz="0" w:space="0" w:color="auto"/>
          </w:divBdr>
        </w:div>
        <w:div w:id="1840804018">
          <w:marLeft w:val="0"/>
          <w:marRight w:val="0"/>
          <w:marTop w:val="120"/>
          <w:marBottom w:val="120"/>
          <w:divBdr>
            <w:top w:val="none" w:sz="0" w:space="0" w:color="auto"/>
            <w:left w:val="none" w:sz="0" w:space="0" w:color="auto"/>
            <w:bottom w:val="none" w:sz="0" w:space="0" w:color="auto"/>
            <w:right w:val="none" w:sz="0" w:space="0" w:color="auto"/>
          </w:divBdr>
        </w:div>
        <w:div w:id="276765039">
          <w:marLeft w:val="0"/>
          <w:marRight w:val="0"/>
          <w:marTop w:val="120"/>
          <w:marBottom w:val="120"/>
          <w:divBdr>
            <w:top w:val="none" w:sz="0" w:space="0" w:color="auto"/>
            <w:left w:val="none" w:sz="0" w:space="0" w:color="auto"/>
            <w:bottom w:val="none" w:sz="0" w:space="0" w:color="auto"/>
            <w:right w:val="none" w:sz="0" w:space="0" w:color="auto"/>
          </w:divBdr>
        </w:div>
        <w:div w:id="1174878712">
          <w:marLeft w:val="0"/>
          <w:marRight w:val="0"/>
          <w:marTop w:val="120"/>
          <w:marBottom w:val="120"/>
          <w:divBdr>
            <w:top w:val="none" w:sz="0" w:space="0" w:color="auto"/>
            <w:left w:val="none" w:sz="0" w:space="0" w:color="auto"/>
            <w:bottom w:val="none" w:sz="0" w:space="0" w:color="auto"/>
            <w:right w:val="none" w:sz="0" w:space="0" w:color="auto"/>
          </w:divBdr>
        </w:div>
      </w:divsChild>
    </w:div>
    <w:div w:id="1793205213">
      <w:bodyDiv w:val="1"/>
      <w:marLeft w:val="0"/>
      <w:marRight w:val="0"/>
      <w:marTop w:val="0"/>
      <w:marBottom w:val="0"/>
      <w:divBdr>
        <w:top w:val="none" w:sz="0" w:space="0" w:color="auto"/>
        <w:left w:val="none" w:sz="0" w:space="0" w:color="auto"/>
        <w:bottom w:val="none" w:sz="0" w:space="0" w:color="auto"/>
        <w:right w:val="none" w:sz="0" w:space="0" w:color="auto"/>
      </w:divBdr>
    </w:div>
    <w:div w:id="1841310907">
      <w:bodyDiv w:val="1"/>
      <w:marLeft w:val="0"/>
      <w:marRight w:val="0"/>
      <w:marTop w:val="0"/>
      <w:marBottom w:val="0"/>
      <w:divBdr>
        <w:top w:val="none" w:sz="0" w:space="0" w:color="auto"/>
        <w:left w:val="none" w:sz="0" w:space="0" w:color="auto"/>
        <w:bottom w:val="none" w:sz="0" w:space="0" w:color="auto"/>
        <w:right w:val="none" w:sz="0" w:space="0" w:color="auto"/>
      </w:divBdr>
      <w:divsChild>
        <w:div w:id="1037855606">
          <w:marLeft w:val="0"/>
          <w:marRight w:val="0"/>
          <w:marTop w:val="120"/>
          <w:marBottom w:val="120"/>
          <w:divBdr>
            <w:top w:val="none" w:sz="0" w:space="0" w:color="auto"/>
            <w:left w:val="none" w:sz="0" w:space="0" w:color="auto"/>
            <w:bottom w:val="none" w:sz="0" w:space="0" w:color="auto"/>
            <w:right w:val="none" w:sz="0" w:space="0" w:color="auto"/>
          </w:divBdr>
        </w:div>
        <w:div w:id="863400212">
          <w:marLeft w:val="0"/>
          <w:marRight w:val="0"/>
          <w:marTop w:val="120"/>
          <w:marBottom w:val="120"/>
          <w:divBdr>
            <w:top w:val="none" w:sz="0" w:space="0" w:color="auto"/>
            <w:left w:val="none" w:sz="0" w:space="0" w:color="auto"/>
            <w:bottom w:val="none" w:sz="0" w:space="0" w:color="auto"/>
            <w:right w:val="none" w:sz="0" w:space="0" w:color="auto"/>
          </w:divBdr>
        </w:div>
        <w:div w:id="1817187157">
          <w:marLeft w:val="0"/>
          <w:marRight w:val="0"/>
          <w:marTop w:val="120"/>
          <w:marBottom w:val="120"/>
          <w:divBdr>
            <w:top w:val="none" w:sz="0" w:space="0" w:color="auto"/>
            <w:left w:val="none" w:sz="0" w:space="0" w:color="auto"/>
            <w:bottom w:val="none" w:sz="0" w:space="0" w:color="auto"/>
            <w:right w:val="none" w:sz="0" w:space="0" w:color="auto"/>
          </w:divBdr>
        </w:div>
        <w:div w:id="805925805">
          <w:marLeft w:val="0"/>
          <w:marRight w:val="0"/>
          <w:marTop w:val="120"/>
          <w:marBottom w:val="120"/>
          <w:divBdr>
            <w:top w:val="none" w:sz="0" w:space="0" w:color="auto"/>
            <w:left w:val="none" w:sz="0" w:space="0" w:color="auto"/>
            <w:bottom w:val="none" w:sz="0" w:space="0" w:color="auto"/>
            <w:right w:val="none" w:sz="0" w:space="0" w:color="auto"/>
          </w:divBdr>
        </w:div>
        <w:div w:id="1736859024">
          <w:marLeft w:val="0"/>
          <w:marRight w:val="0"/>
          <w:marTop w:val="120"/>
          <w:marBottom w:val="120"/>
          <w:divBdr>
            <w:top w:val="none" w:sz="0" w:space="0" w:color="auto"/>
            <w:left w:val="none" w:sz="0" w:space="0" w:color="auto"/>
            <w:bottom w:val="none" w:sz="0" w:space="0" w:color="auto"/>
            <w:right w:val="none" w:sz="0" w:space="0" w:color="auto"/>
          </w:divBdr>
        </w:div>
        <w:div w:id="2136360824">
          <w:marLeft w:val="0"/>
          <w:marRight w:val="0"/>
          <w:marTop w:val="120"/>
          <w:marBottom w:val="120"/>
          <w:divBdr>
            <w:top w:val="none" w:sz="0" w:space="0" w:color="auto"/>
            <w:left w:val="none" w:sz="0" w:space="0" w:color="auto"/>
            <w:bottom w:val="none" w:sz="0" w:space="0" w:color="auto"/>
            <w:right w:val="none" w:sz="0" w:space="0" w:color="auto"/>
          </w:divBdr>
        </w:div>
        <w:div w:id="1613392251">
          <w:marLeft w:val="0"/>
          <w:marRight w:val="0"/>
          <w:marTop w:val="120"/>
          <w:marBottom w:val="120"/>
          <w:divBdr>
            <w:top w:val="none" w:sz="0" w:space="0" w:color="auto"/>
            <w:left w:val="none" w:sz="0" w:space="0" w:color="auto"/>
            <w:bottom w:val="none" w:sz="0" w:space="0" w:color="auto"/>
            <w:right w:val="none" w:sz="0" w:space="0" w:color="auto"/>
          </w:divBdr>
        </w:div>
        <w:div w:id="1279873833">
          <w:marLeft w:val="0"/>
          <w:marRight w:val="0"/>
          <w:marTop w:val="120"/>
          <w:marBottom w:val="120"/>
          <w:divBdr>
            <w:top w:val="none" w:sz="0" w:space="0" w:color="auto"/>
            <w:left w:val="none" w:sz="0" w:space="0" w:color="auto"/>
            <w:bottom w:val="none" w:sz="0" w:space="0" w:color="auto"/>
            <w:right w:val="none" w:sz="0" w:space="0" w:color="auto"/>
          </w:divBdr>
        </w:div>
        <w:div w:id="1644845362">
          <w:marLeft w:val="0"/>
          <w:marRight w:val="0"/>
          <w:marTop w:val="120"/>
          <w:marBottom w:val="120"/>
          <w:divBdr>
            <w:top w:val="none" w:sz="0" w:space="0" w:color="auto"/>
            <w:left w:val="none" w:sz="0" w:space="0" w:color="auto"/>
            <w:bottom w:val="none" w:sz="0" w:space="0" w:color="auto"/>
            <w:right w:val="none" w:sz="0" w:space="0" w:color="auto"/>
          </w:divBdr>
        </w:div>
        <w:div w:id="1813862651">
          <w:marLeft w:val="0"/>
          <w:marRight w:val="0"/>
          <w:marTop w:val="120"/>
          <w:marBottom w:val="120"/>
          <w:divBdr>
            <w:top w:val="none" w:sz="0" w:space="0" w:color="auto"/>
            <w:left w:val="none" w:sz="0" w:space="0" w:color="auto"/>
            <w:bottom w:val="none" w:sz="0" w:space="0" w:color="auto"/>
            <w:right w:val="none" w:sz="0" w:space="0" w:color="auto"/>
          </w:divBdr>
        </w:div>
        <w:div w:id="944964823">
          <w:marLeft w:val="0"/>
          <w:marRight w:val="0"/>
          <w:marTop w:val="120"/>
          <w:marBottom w:val="120"/>
          <w:divBdr>
            <w:top w:val="none" w:sz="0" w:space="0" w:color="auto"/>
            <w:left w:val="none" w:sz="0" w:space="0" w:color="auto"/>
            <w:bottom w:val="none" w:sz="0" w:space="0" w:color="auto"/>
            <w:right w:val="none" w:sz="0" w:space="0" w:color="auto"/>
          </w:divBdr>
        </w:div>
        <w:div w:id="590969800">
          <w:marLeft w:val="0"/>
          <w:marRight w:val="0"/>
          <w:marTop w:val="120"/>
          <w:marBottom w:val="120"/>
          <w:divBdr>
            <w:top w:val="none" w:sz="0" w:space="0" w:color="auto"/>
            <w:left w:val="none" w:sz="0" w:space="0" w:color="auto"/>
            <w:bottom w:val="none" w:sz="0" w:space="0" w:color="auto"/>
            <w:right w:val="none" w:sz="0" w:space="0" w:color="auto"/>
          </w:divBdr>
        </w:div>
        <w:div w:id="1696999275">
          <w:marLeft w:val="0"/>
          <w:marRight w:val="0"/>
          <w:marTop w:val="120"/>
          <w:marBottom w:val="120"/>
          <w:divBdr>
            <w:top w:val="none" w:sz="0" w:space="0" w:color="auto"/>
            <w:left w:val="none" w:sz="0" w:space="0" w:color="auto"/>
            <w:bottom w:val="none" w:sz="0" w:space="0" w:color="auto"/>
            <w:right w:val="none" w:sz="0" w:space="0" w:color="auto"/>
          </w:divBdr>
        </w:div>
        <w:div w:id="1094014214">
          <w:marLeft w:val="0"/>
          <w:marRight w:val="0"/>
          <w:marTop w:val="120"/>
          <w:marBottom w:val="120"/>
          <w:divBdr>
            <w:top w:val="none" w:sz="0" w:space="0" w:color="auto"/>
            <w:left w:val="none" w:sz="0" w:space="0" w:color="auto"/>
            <w:bottom w:val="none" w:sz="0" w:space="0" w:color="auto"/>
            <w:right w:val="none" w:sz="0" w:space="0" w:color="auto"/>
          </w:divBdr>
        </w:div>
        <w:div w:id="1480996284">
          <w:marLeft w:val="0"/>
          <w:marRight w:val="0"/>
          <w:marTop w:val="120"/>
          <w:marBottom w:val="120"/>
          <w:divBdr>
            <w:top w:val="none" w:sz="0" w:space="0" w:color="auto"/>
            <w:left w:val="none" w:sz="0" w:space="0" w:color="auto"/>
            <w:bottom w:val="none" w:sz="0" w:space="0" w:color="auto"/>
            <w:right w:val="none" w:sz="0" w:space="0" w:color="auto"/>
          </w:divBdr>
        </w:div>
        <w:div w:id="380600001">
          <w:marLeft w:val="0"/>
          <w:marRight w:val="0"/>
          <w:marTop w:val="120"/>
          <w:marBottom w:val="120"/>
          <w:divBdr>
            <w:top w:val="none" w:sz="0" w:space="0" w:color="auto"/>
            <w:left w:val="none" w:sz="0" w:space="0" w:color="auto"/>
            <w:bottom w:val="none" w:sz="0" w:space="0" w:color="auto"/>
            <w:right w:val="none" w:sz="0" w:space="0" w:color="auto"/>
          </w:divBdr>
        </w:div>
      </w:divsChild>
    </w:div>
    <w:div w:id="1883133839">
      <w:bodyDiv w:val="1"/>
      <w:marLeft w:val="0"/>
      <w:marRight w:val="0"/>
      <w:marTop w:val="0"/>
      <w:marBottom w:val="0"/>
      <w:divBdr>
        <w:top w:val="none" w:sz="0" w:space="0" w:color="auto"/>
        <w:left w:val="none" w:sz="0" w:space="0" w:color="auto"/>
        <w:bottom w:val="none" w:sz="0" w:space="0" w:color="auto"/>
        <w:right w:val="none" w:sz="0" w:space="0" w:color="auto"/>
      </w:divBdr>
    </w:div>
    <w:div w:id="1962490295">
      <w:bodyDiv w:val="1"/>
      <w:marLeft w:val="0"/>
      <w:marRight w:val="0"/>
      <w:marTop w:val="0"/>
      <w:marBottom w:val="0"/>
      <w:divBdr>
        <w:top w:val="none" w:sz="0" w:space="0" w:color="auto"/>
        <w:left w:val="none" w:sz="0" w:space="0" w:color="auto"/>
        <w:bottom w:val="none" w:sz="0" w:space="0" w:color="auto"/>
        <w:right w:val="none" w:sz="0" w:space="0" w:color="auto"/>
      </w:divBdr>
    </w:div>
    <w:div w:id="1978220858">
      <w:bodyDiv w:val="1"/>
      <w:marLeft w:val="0"/>
      <w:marRight w:val="0"/>
      <w:marTop w:val="0"/>
      <w:marBottom w:val="0"/>
      <w:divBdr>
        <w:top w:val="none" w:sz="0" w:space="0" w:color="auto"/>
        <w:left w:val="none" w:sz="0" w:space="0" w:color="auto"/>
        <w:bottom w:val="none" w:sz="0" w:space="0" w:color="auto"/>
        <w:right w:val="none" w:sz="0" w:space="0" w:color="auto"/>
      </w:divBdr>
    </w:div>
    <w:div w:id="2032682081">
      <w:bodyDiv w:val="1"/>
      <w:marLeft w:val="0"/>
      <w:marRight w:val="0"/>
      <w:marTop w:val="0"/>
      <w:marBottom w:val="0"/>
      <w:divBdr>
        <w:top w:val="none" w:sz="0" w:space="0" w:color="auto"/>
        <w:left w:val="none" w:sz="0" w:space="0" w:color="auto"/>
        <w:bottom w:val="none" w:sz="0" w:space="0" w:color="auto"/>
        <w:right w:val="none" w:sz="0" w:space="0" w:color="auto"/>
      </w:divBdr>
    </w:div>
    <w:div w:id="204709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amak-salimy.github.io/HMNex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gdc.cancer.gov/data/" TargetMode="External"/><Relationship Id="rId12" Type="http://schemas.openxmlformats.org/officeDocument/2006/relationships/hyperlink" Target="https://gdc.cancer.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amak-salimy.github.io/HMNexus/" TargetMode="External"/><Relationship Id="rId11" Type="http://schemas.openxmlformats.org/officeDocument/2006/relationships/hyperlink" Target="https://portal.gdc.cancer.gov/" TargetMode="External"/><Relationship Id="rId5" Type="http://schemas.openxmlformats.org/officeDocument/2006/relationships/hyperlink" Target="mailto:siamak.salimy@email.com" TargetMode="External"/><Relationship Id="rId10" Type="http://schemas.openxmlformats.org/officeDocument/2006/relationships/hyperlink" Target="https://github.com/Siamak-salimy/HMNexus" TargetMode="External"/><Relationship Id="rId4" Type="http://schemas.openxmlformats.org/officeDocument/2006/relationships/webSettings" Target="webSettings.xml"/><Relationship Id="rId9" Type="http://schemas.openxmlformats.org/officeDocument/2006/relationships/hyperlink" Target="https://siamak-salimy.github.io/HMNex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4255</Words>
  <Characters>24258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siamak salimy</dc:creator>
  <cp:keywords/>
  <dc:description/>
  <cp:lastModifiedBy>amir</cp:lastModifiedBy>
  <cp:revision>2</cp:revision>
  <dcterms:created xsi:type="dcterms:W3CDTF">2026-02-26T16:44:00Z</dcterms:created>
  <dcterms:modified xsi:type="dcterms:W3CDTF">2026-02-26T16:44:00Z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f49fb15d-9d77-44e0-8f35-a52ace92cbad</vt:lpwstr>
  </property>
</Properties>
</file>