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jc w:val="center"/>
        <w:rPr/>
      </w:pPr>
      <w:r>
        <w:rPr>
          <w:rFonts w:ascii="Arial" w:eastAsia="Arial" w:hAnsi="Arial" w:cs="Arial"/>
          <w:b/>
          <w:bCs/>
          <w:color w:val="0B3D91"/>
          <w:sz w:val="40"/>
          <w:szCs w:val="40"/>
        </w:rPr>
        <w:t xml:space="preserve">Problem Description</w:t>
      </w:r>
    </w:p>
    <w:p>
      <w:pPr>
        <w:pBdr>
          <w:bottom w:val="single" w:color="0B3D91" w:sz="6" w:space="1"/>
        </w:pBdr>
        <w:pStyle w:val="Normal"/>
        <w:spacing/>
        <w:ind/>
        <w:jc w:val="center"/>
        <w:rPr/>
      </w:pPr>
      <w:r>
        <w:rPr>
          <w:rFonts w:ascii="Arial" w:eastAsia="Arial" w:hAnsi="Arial" w:cs="Arial"/>
          <w:b/>
          <w:bCs/>
          <w:color w:val="444444"/>
          <w:sz w:val="28"/>
          <w:szCs w:val="28"/>
        </w:rPr>
        <w:t xml:space="preserve">Problem 7 : Energy Consumption &amp; Utility Billing System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Important Instructions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Please read this document thoroughly before you start coding.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Do not change the given 'input.txt' file.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Do not change the skeleton code, class names, method names, variable names, or return types.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You may create private helper methods inside any class.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Do not hard-code database credentials — read them from database.properties.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The Residential energy charge MUST use cumulative slabs — not a flat rate. Each slab applies only to units in that band.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For Industrial consumers, the Rs.2,000 demand charge is PART of energy_charge, not a separate column.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Tax is calculated on energy_charge only — NOT on fixed_charge.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Concepts Coverage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Control Flow Statements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Strings &amp; Regex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Functions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Classes and Objects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Collection Framework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File Handling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Exception Handling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Database Handling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Yes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Problem Description</w:t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A state electricity distribution company processes monthly consumption bills for millions of consumers across four categories: Residential, Commercial, Industrial, and Agricultural. Each category has distinct tariff rules, and manual calculation is no longer feasible at scale.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You are required to build a Python application that: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Reads utility billing records from a flat file (input.txt).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Filters only Pending bills where units_consumed &gt;= 50 and the reading was taken within 60 days of the billing date.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Calculates energy_charge (cumulative slabs for Residential; flat rates for others; demand charge for Industrial), fixed_charge (by connection type), tax (5% on energy_charge), and total_bill_amount.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Stores all valid records in an Oracle table named 'utility_bill'.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Allows searching a bill by Bill Id and displaying the complete charge breakdown.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Applies a 5% energy_charge increase for all bills where units_consumed exceeds a user-</w:t>
      </w:r>
      <w:r>
        <w:rPr>
          <w:rFonts w:ascii="Arial" w:eastAsia="Arial" w:hAnsi="Arial" w:cs="Arial"/>
          <w:sz w:val="22"/>
          <w:szCs w:val="22"/>
        </w:rPr>
        <w:t xml:space="preserve">specified threshold, recalculates tax and total, and displays updated records.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Technical Requirements</w:t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Req 1 : UtilityBill (Model / POJO Class)</w:t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All attributes are private. Parameterized constructor + getters/setters for every attribute.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468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bill_id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consumer_id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billing_date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consumer_type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reading_date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units_consumed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connection_type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payment_status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energy_charge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  (default 0.0)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fixed_charge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  (default 0.0)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tax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  (default 0.0)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total_bill_amount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  (default 0.0)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Req 2 : utility.py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965"/>
        <w:gridCol w:w="3323"/>
        <w:gridCol w:w="1100"/>
        <w:gridCol w:w="795"/>
        <w:gridCol w:w="3177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Return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utility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read_file(file)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String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 of strings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Return records: payment_status == 'Pending' AND units_consumed &gt;= 50 AND (reading_date - billing_date).days &lt;= 60.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utility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validate_bill_id(bill_id)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bool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Min 6 chars. Must match ^ENB\d+$. Raise InvalidBillIdException('Invalid Bill Id').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utility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validate_consumer_type(consumer_type)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bool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Must be in ['Residential','Commercial','Industrial','Agricultural']. Raise InvalidConsumerTypeException('Invalid Consumer Type').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utility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convert_date(str_date)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date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Convert yyyy-mm-dd to datetime.date. No Pandas.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Req 3 : exception.py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870"/>
        <w:gridCol w:w="2339"/>
        <w:gridCol w:w="4741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Exception Class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Constructor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InvalidBillIdException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__init__(message)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Length &lt; 6 or fails ^ENB\d+$ check. Message: 'Invalid Bill Id'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InvalidConsumerTypeException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__init__(message)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Not in the four valid consumer types. Message: 'Invalid Consumer Type'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Req 4 : UtilityBillService (Service Class)</w:t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Private attribute: __utility_bill_list (list).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1622"/>
        <w:gridCol w:w="3447"/>
        <w:gridCol w:w="1172"/>
        <w:gridCol w:w="1031"/>
        <w:gridCol w:w="2089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Class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Input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Return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get_utility_bill_details(input_file)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.txt file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Calls read_file(), then build_utility_bill_list(). Returns __utility_bill_list.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build_utility_bill_list(records)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 of strings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None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Validates bill_id &amp; consumer_type; converts dates; builds objects; calculates charges; appends to list.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calculate_bill_charges(units_consumed, consumer_type, connection_type)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float, str, str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 of float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Returns [energy_charge, fixed_charge, tax, total_bill_amount].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add_utility_bill_details(bill_list)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None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Inserts all objects into 'utility_bill' table.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search_bill(bill_id)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str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Object or None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Fetches record from DB by bill_id. Returns object or None.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UtilityBillService</w:t>
            </w:r>
          </w:p>
        </w:tc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update_energy_charges(units_threshold)</w:t>
            </w:r>
          </w:p>
        </w:tc>
        <w:tc>
          <w:tcPr>
            <w:tcW w:w="13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float</w:t>
            </w:r>
          </w:p>
        </w:tc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List or None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Increases energy_charge by 5% where units_consumed &gt; threshold. Recalculates tax and total. Returns updated objects.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Charge Calculation Rules</w:t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Step 1A – Residential Energy Charge (Cumulative Slabs)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200"/>
        <w:gridCol w:w="2200"/>
        <w:gridCol w:w="2200"/>
        <w:gridCol w:w="276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Slab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Units Range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Rate (INR/unit)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Running Calculation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Slab 1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First 100 units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3.00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100 x 3 = 300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Slab 2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101 – 300 (next 200)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5.00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200 x 5 = 1,000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Slab 3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301 – 500 (next 200)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7.00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200 x 7 = 1,400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Slab 4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Above 500</w:t>
            </w:r>
          </w:p>
        </w:tc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9.00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Remaining x 9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/>
          <w:bCs/>
          <w:sz w:val="22"/>
          <w:szCs w:val="22"/>
        </w:rPr>
        <w:t xml:space="preserve">IMPORTANT: Each slab applies only to the units within that band — it is NOT a flat rate on all units.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Example: 420 units consumed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Slab1 = 100 x 3.00 =  300.0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Slab2 = 200 x 5.00 = 1000.0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Slab3 = 120 x 7.00 =  840.0   (420 - 300 = 120 units in slab 3)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energy_charge       = 2140.0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Example: 650 units consumed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Slab1 = 100 x 3.00 =  300.0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Slab2 = 200 x 5.00 = 1000.0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Slab3 = 200 x 7.00 = 1400.0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Slab4 = 150 x 9.00 = 1350.0   (650 - 500 = 150 units above slab 3)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  energy_charge       = 4050.0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Step 1B – Commercial, Industrial, Agricultural Energy Charge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340"/>
        <w:gridCol w:w="2340"/>
        <w:gridCol w:w="46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Consumer Type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Special Rule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Commercial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8.00 per unit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Flat rate — no slabs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Industrial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6.00 per unit + 2,000 demand charge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Fixed Rs.2000 added to energy_charge regardless of units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Agricultural</w:t>
            </w:r>
          </w:p>
        </w:tc>
        <w:tc>
          <w:tcPr>
            <w:tcW w:w="234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1.50 per unit</w:t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Subsidised flat rate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Example: Industrial, 750 units → energy_charge = 750 x 6.0 + 2000 = 6,500.0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Step 2 – Fixed Charge by Connection Type</w:t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800"/>
        <w:gridCol w:w="2560"/>
        <w:gridCol w:w="400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Connection Type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Fixed Charge (INR/cycle)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Typical Use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Single_Phase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100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Households, small shops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Three_Phase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300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Medium commercial, offices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HT_Connection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1,000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Heavy industrial, factories</w:t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Step 3 – Tax and Total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tax               =  energy_charge  x  0.05        (5% on energy_charge only)</w:t>
      </w:r>
    </w:p>
    <w:p>
      <w:pPr>
        <w:pBdr/>
        <w:pStyle w:val="Normal"/>
        <w:spacing/>
        <w:ind w:left="360"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total_bill_amount =  energy_charge  +  fixed_charge  +  tax   (rounded to 2 dp)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Database Table Structure</w:t>
      </w:r>
    </w:p>
    <w:p>
      <w:pPr>
        <w:pBdr/>
        <w:pStyle w:val="Normal"/>
        <w:spacing/>
        <w:ind/>
        <w:rPr/>
      </w:pPr>
      <w:r>
        <w:rPr>
          <w:rFonts w:ascii="Arial" w:eastAsia="Arial" w:hAnsi="Arial" w:cs="Arial"/>
          <w:b w:val="0"/>
          <w:sz w:val="22"/>
          <w:szCs w:val="22"/>
        </w:rPr>
        <w:t xml:space="preserve">Table name: utility_bill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tbl>
      <w:tblPr>
        <w:tblW w:w="936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fill="auto" w:color="auto"/>
      </w:tblPr>
      <w:tblGrid>
        <w:gridCol w:w="2800"/>
        <w:gridCol w:w="2280"/>
        <w:gridCol w:w="428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Column Name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Oracle Type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0B3D91" w:color="auto" w:val="clear"/>
            <w:vAlign w:val="center"/>
          </w:tcPr>
          <w:p>
            <w:pPr>
              <w:pBdr/>
              <w:pStyle w:val="Normal"/>
              <w:spacing/>
              <w:ind/>
              <w:jc w:val="center"/>
              <w:rPr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bill_id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VARCHAR2(20)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Primary Key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consumer_id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VARCHAR2(20)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billing_date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DATE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consumer_type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VARCHAR2(20)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reading_date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DATE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units_consumed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NUMBER(10,2)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connection_type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VARCHAR2(20)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payment_status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VARCHAR2(20)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energy_charge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NUMBER(12,2)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fixed_charge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NUMBER(12,2)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tax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NUMBER(12,2)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hRule="atLeast" w:val="20"/>
        </w:trPr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total_bill_amount</w:t>
            </w:r>
          </w:p>
        </w:tc>
        <w:tc>
          <w:tcPr>
            <w:tcW w:w="2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>NUMBER(12,2)</w:t>
            </w:r>
          </w:p>
        </w:tc>
        <w:tc>
          <w:tcPr>
            <w:tcW w:w="428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color="AAAAAA" w:sz="1" w:space="0"/>
              <w:left w:val="single" w:color="AAAAAA" w:sz="1" w:space="0"/>
              <w:bottom w:val="single" w:color="AAAAAA" w:sz="1" w:space="0"/>
              <w:right w:val="single" w:color="AAAAAA" w:sz="1" w:space="0"/>
            </w:tcBorders>
            <w:shd w:fill="F2F2F2" w:color="auto" w:val="clear"/>
            <w:vAlign w:val="top"/>
          </w:tcPr>
          <w:p>
            <w:pPr>
              <w:pBdr/>
              <w:pStyle w:val="Normal"/>
              <w:spacing/>
              <w:ind/>
              <w:jc w:val="left"/>
              <w:rPr/>
            </w:pPr>
            <w:r>
              <w:rPr>
                <w:rFonts w:ascii="Arial" w:eastAsia="Arial" w:hAnsi="Arial" w:cs="Arial"/>
                <w:b w:val="0"/>
                <w:sz w:val="20"/>
                <w:szCs w:val="20"/>
              </w:rPr>
              <w:t xml:space="preserve"/>
            </w:r>
          </w:p>
        </w:tc>
      </w:tr>
    </w:tbl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Design Constraints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Input file format: .txt, comma-separated.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Do NOT hard-code file path or DB credentials.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File column order: bill_id, consumer_id, billing_date, consumer_type, reading_date, units_consumed, connection_type, payment_status, energy_charge, fixed_charge, tax, total_bill_amount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Three filters in read_file(): payment_status == 'Pending', units_consumed &gt;= 50, (reading_date - billing_date).days &lt;= 60.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Residential slab calculation is CUMULATIVE — each slab is computed on its own band only.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Industrial demand charge of Rs.2,000 is included inside energy_charge — not a separate DB column.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Tax = energy_charge x 0.05 only. fixed_charge is never taxed.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update_energy_charges() must update energy_charge, recalculate tax = new_energy_charge * 0.05, and recalculate total_bill_amount = new_energy + fixed + new_tax. All in a single SQL UPDATE.</w:t>
      </w:r>
    </w:p>
    <w:p>
      <w:pPr>
        <w:pBdr/>
        <w:pStyle w:val="List Paragraph"/>
        <w:numPr>
          <w:ilvl w:val="0"/>
          <w:numId w:val="4"/>
        </w:numPr>
        <w:spacing/>
        <w:ind/>
        <w:rPr/>
      </w:pPr>
      <w:r>
        <w:rPr>
          <w:rFonts w:ascii="Arial" w:eastAsia="Arial" w:hAnsi="Arial" w:cs="Arial"/>
          <w:sz w:val="22"/>
          <w:szCs w:val="22"/>
        </w:rPr>
        <w:t xml:space="preserve">Close all database resources after use.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1"/>
        <w:spacing/>
        <w:ind/>
        <w:rPr/>
      </w:pPr>
      <w:r>
        <w:rPr>
          <w:rFonts w:ascii="Arial" w:eastAsia="Arial" w:hAnsi="Arial" w:cs="Arial"/>
          <w:b/>
          <w:bCs/>
          <w:color w:val="0B3D91"/>
          <w:sz w:val="28"/>
          <w:szCs w:val="28"/>
        </w:rPr>
        <w:t xml:space="preserve">Sample Input / Output</w:t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Sample 1 – Valid Bill Id found, records updated</w:t>
      </w:r>
    </w:p>
    <w:p>
      <w:pPr>
        <w:pBdr>
          <w:left w:val="single" w:color="0B3D91" w:sz="12" w:space="4"/>
        </w:pBdr>
        <w:pStyle w:val="Normal"/>
        <w:spacing/>
        <w:ind/>
        <w:rPr/>
      </w:pPr>
      <w:r>
        <w:rPr>
          <w:rFonts w:ascii="Courier New" w:eastAsia="Courier New" w:hAnsi="Courier New" w:cs="Courier New"/>
          <w:sz w:val="20"/>
          <w:szCs w:val="20"/>
        </w:rPr>
        <w:t xml:space="preserve">Enter the Bill Id: ENB003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Bill Id: ENB003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Consumer Id: C003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Consumer Type: Industrial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Reading Date: 2024-03-30 00:00:00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Units Consumed: 750.0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Connection Type: HT_Connection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Energy Charge: 6500.0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Fixed Charge: 1000.0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Tax: 325.0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Total Bill Amount: 7825.0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Enter the units threshold for energy charge update: 200.0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The updated record details are: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ENB002 | Energy: 2688.0  | Tax: 134.4  | Total: 3122.4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ENB003 | Energy: 6825.0  | Tax: 341.25 | Total: 8166.25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ENB004 | Energy: 2247.0  | Tax: 112.35 | Total: 2459.35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ENB005 | Energy:  945.0  | Tax:  47.25 | Total: 1092.25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ENB008 | Energy: 9660.0  | Tax: 483.0  | Total: 11143.0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ENB009 | Energy: 4252.5  | Tax: 212.63 | Total: 4565.13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Sample 2 – Invalid Bill Id</w:t>
      </w:r>
    </w:p>
    <w:p>
      <w:pPr>
        <w:pBdr>
          <w:left w:val="single" w:color="0B3D91" w:sz="12" w:space="4"/>
        </w:pBdr>
        <w:pStyle w:val="Normal"/>
        <w:spacing/>
        <w:ind/>
        <w:rPr/>
      </w:pPr>
      <w:r>
        <w:rPr>
          <w:rFonts w:ascii="Courier New" w:eastAsia="Courier New" w:hAnsi="Courier New" w:cs="Courier New"/>
          <w:sz w:val="20"/>
          <w:szCs w:val="20"/>
        </w:rPr>
        <w:t xml:space="preserve">Enter the Bill Id: ENB00X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Invalid Bill Id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Enter the units threshold for energy charge update: 10000.0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No Records updated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p>
      <w:pPr>
        <w:pBdr/>
        <w:pStyle w:val="Heading 2"/>
        <w:spacing/>
        <w:ind/>
        <w:rPr/>
      </w:pPr>
      <w:r>
        <w:rPr>
          <w:rFonts w:ascii="Arial" w:eastAsia="Arial" w:hAnsi="Arial" w:cs="Arial"/>
          <w:b/>
          <w:bCs/>
          <w:color w:val="333333"/>
          <w:sz w:val="24"/>
          <w:szCs w:val="24"/>
        </w:rPr>
        <w:t xml:space="preserve">Sample 3 – Valid Id not found</w:t>
      </w:r>
    </w:p>
    <w:p>
      <w:pPr>
        <w:pBdr>
          <w:left w:val="single" w:color="0B3D91" w:sz="12" w:space="4"/>
        </w:pBdr>
        <w:pStyle w:val="Normal"/>
        <w:spacing/>
        <w:ind/>
        <w:rPr/>
      </w:pPr>
      <w:r>
        <w:rPr>
          <w:rFonts w:ascii="Courier New" w:eastAsia="Courier New" w:hAnsi="Courier New" w:cs="Courier New"/>
          <w:sz w:val="20"/>
          <w:szCs w:val="20"/>
        </w:rPr>
        <w:t xml:space="preserve">Enter the Bill Id: ENB099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No record found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Enter the units threshold for energy charge update: 80.0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The updated record details are: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/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ENB001 | Energy: 267.75 | Tax: 13.39 | Total: 381.14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ENB002 | Energy: 2688.0  | Tax: 134.4 | Total: 3122.4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ENB003 | Energy: 6825.0  | Tax: 341.25 | Total: 8166.25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ENB004 | Energy: 2247.0  | Tax: 112.35 | Total: 2459.35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ENB005 | Energy: 945.0   | Tax: 47.25  | Total: 1092.25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ENB008 | Energy: 9660.0  | Tax: 483.0  | Total: 11143.0</w:t>
      </w:r>
      <w:r>
        <w:rPr/>
        <w:br/>
      </w:r>
      <w:r>
        <w:rPr/>
        <w:t xml:space="preserve"/>
      </w:r>
      <w:r>
        <w:rPr>
          <w:rFonts w:ascii="Courier New" w:eastAsia="Courier New" w:hAnsi="Courier New" w:cs="Courier New"/>
          <w:sz w:val="20"/>
          <w:szCs w:val="20"/>
        </w:rPr>
        <w:t xml:space="preserve">ENB009 | Energy: 4252.5  | Tax: 212.63 | Total: 4565.13</w:t>
      </w:r>
    </w:p>
    <w:p>
      <w:pPr>
        <w:pBdr/>
        <w:pStyle w:val="Normal"/>
        <w:spacing/>
        <w:ind/>
        <w:rPr/>
      </w:pPr>
      <w:r>
        <w:rPr>
          <w:sz w:val="22"/>
          <w:szCs w:val="22"/>
        </w:rPr>
        <w:t xml:space="preserve"/>
      </w:r>
    </w:p>
    <w:sectPr>
      <w:type w:val="nextPage"/>
      <w:pgSz w:w="12240" w:h="15840"/>
      <w:pgMar w:top="1080" w:right="1080" w:bottom="1080" w:left="108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separator/>
      </w:r>
    </w:p>
  </w:footnote>
  <w:footnote w:type="continuationSeparator" w:id="0">
    <w:p>
      <w:pPr>
        <w:pBdr/>
        <w:pStyle w:val="Normal"/>
        <w:spacing w:after="0" w:line="240" w:lineRule="auto"/>
        <w:ind/>
        <w:rPr/>
      </w:pPr>
      <w:r>
        <w:rPr>
          <w:rStyle w:val="Footnote Reference"/>
        </w:rPr>
        <w:footnoteRef/>
      </w: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nsid w:val="336B8BAA"/>
    <w:lvl w:ilvl="0">
      <w:start w:val="0"/>
      <w:numFmt w:val="bullet"/>
      <w:suff w:val="tab"/>
      <w:lvlText w:val="•"/>
      <w:pPr>
        <w:pBdr/>
        <w:spacing/>
        <w:ind w:left="720" w:hanging="360"/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paragraph" w:styleId="Title">
    <w:name w:val="Title"/>
    <w:basedOn w:val="Normal"/>
    <w:next w:val="Normal"/>
    <w:pPr>
      <w:pBdr/>
      <w:spacing/>
      <w:ind/>
    </w:pPr>
    <w:rPr>
      <w:sz w:val="56"/>
      <w:szCs w:val="56"/>
    </w:rPr>
  </w:style>
  <w:style w:type="paragraph" w:styleId="Heading 1">
    <w:name w:val="Heading 1"/>
    <w:basedOn w:val="Normal"/>
    <w:next w:val="Normal"/>
    <w:pPr>
      <w:pBdr/>
      <w:spacing/>
      <w:ind/>
    </w:pPr>
    <w:rPr>
      <w:color w:val="2E74B5"/>
      <w:sz w:val="32"/>
      <w:szCs w:val="32"/>
    </w:rPr>
  </w:style>
  <w:style w:type="paragraph" w:styleId="Heading 2">
    <w:name w:val="Heading 2"/>
    <w:basedOn w:val="Normal"/>
    <w:next w:val="Normal"/>
    <w:pPr>
      <w:pBdr/>
      <w:spacing/>
      <w:ind/>
    </w:pPr>
    <w:rPr>
      <w:color w:val="2E74B5"/>
      <w:sz w:val="26"/>
      <w:szCs w:val="26"/>
    </w:rPr>
  </w:style>
  <w:style w:type="paragraph" w:styleId="Heading 3">
    <w:name w:val="Heading 3"/>
    <w:basedOn w:val="Normal"/>
    <w:next w:val="Normal"/>
    <w:pPr>
      <w:pBdr/>
      <w:spacing/>
      <w:ind/>
    </w:pPr>
    <w:rPr>
      <w:color w:val="1F4D78"/>
      <w:sz w:val="24"/>
      <w:szCs w:val="24"/>
    </w:rPr>
  </w:style>
  <w:style w:type="paragraph" w:styleId="Heading 4">
    <w:name w:val="Heading 4"/>
    <w:basedOn w:val="Normal"/>
    <w:next w:val="Normal"/>
    <w:pPr>
      <w:pBdr/>
      <w:spacing/>
      <w:ind/>
    </w:pPr>
    <w:rPr>
      <w:i/>
      <w:iCs/>
      <w:color w:val="2E74B5"/>
    </w:rPr>
  </w:style>
  <w:style w:type="paragraph" w:styleId="Heading 5">
    <w:name w:val="Heading 5"/>
    <w:basedOn w:val="Normal"/>
    <w:next w:val="Normal"/>
    <w:pPr>
      <w:pBdr/>
      <w:spacing/>
      <w:ind/>
    </w:pPr>
    <w:rPr>
      <w:color w:val="2E74B5"/>
    </w:rPr>
  </w:style>
  <w:style w:type="paragraph" w:styleId="Heading 6">
    <w:name w:val="Heading 6"/>
    <w:basedOn w:val="Normal"/>
    <w:next w:val="Normal"/>
    <w:pPr>
      <w:pBdr/>
      <w:spacing/>
      <w:ind/>
    </w:pPr>
    <w:rPr>
      <w:color w:val="1F4D78"/>
    </w:rPr>
  </w:style>
  <w:style w:type="paragraph" w:styleId="Strong">
    <w:name w:val="Strong"/>
    <w:basedOn w:val="Normal"/>
    <w:next w:val="Normal"/>
    <w:pPr>
      <w:pBdr/>
      <w:spacing/>
      <w:ind/>
    </w:pPr>
    <w:rPr>
      <w:b/>
      <w:bCs/>
    </w:rPr>
  </w:style>
  <w:style w:type="paragraph" w:styleId="List Paragraph">
    <w:name w:val="List Paragraph"/>
    <w:basedOn w:val="Normal"/>
    <w:next w:val="List Paragraph"/>
    <w:pPr>
      <w:pBdr/>
      <w:spacing/>
      <w:ind/>
    </w:pPr>
    <w:rPr/>
  </w:style>
  <w:style w:type="character" w:styleId="Hyperlink">
    <w:name w:val="Hyperlink"/>
    <w:basedOn w:val="Default Paragraph Font"/>
    <w:rPr>
      <w:color w:val="0563C1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pPr>
      <w:pBdr/>
      <w:spacing w:after="0" w:line="240" w:lineRule="auto"/>
      <w:ind/>
    </w:pPr>
    <w:rPr>
      <w:sz w:val="20"/>
      <w:szCs w:val="20"/>
    </w:rPr>
  </w:style>
  <w:style w:type="character" w:styleId="Footnote Text Char">
    <w:name w:val="Footnote Text Char"/>
    <w:basedOn w:val="Default Paragraph Font"/>
    <w:rPr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numbering" Target="numbering.xml" /></Relationships>
</file>