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pPr>
    </w:p>
    <w:p>
      <w:pPr>
        <w:spacing w:after="800"/>
        <w:jc w:val="left"/>
      </w:pPr>
      <w:r>
        <w:drawing>
          <wp:inline xmlns:a="http://schemas.openxmlformats.org/drawingml/2006/main" xmlns:pic="http://schemas.openxmlformats.org/drawingml/2006/picture">
            <wp:extent cx="1737360" cy="571500"/>
            <wp:docPr id="1" name="Picture 1"/>
            <wp:cNvGraphicFramePr>
              <a:graphicFrameLocks noChangeAspect="1"/>
            </wp:cNvGraphicFramePr>
            <a:graphic>
              <a:graphicData uri="http://schemas.openxmlformats.org/drawingml/2006/picture">
                <pic:pic>
                  <pic:nvPicPr>
                    <pic:cNvPr id="0" name="689e6c310d474c5ffdda69b2_ChatGPT Image Aug 14, 2025, 04_01_11 PM-456x150.png"/>
                    <pic:cNvPicPr/>
                  </pic:nvPicPr>
                  <pic:blipFill>
                    <a:blip r:embed="rId10"/>
                    <a:stretch>
                      <a:fillRect/>
                    </a:stretch>
                  </pic:blipFill>
                  <pic:spPr>
                    <a:xfrm>
                      <a:off x="0" y="0"/>
                      <a:ext cx="1737360" cy="571500"/>
                    </a:xfrm>
                    <a:prstGeom prst="rect"/>
                  </pic:spPr>
                </pic:pic>
              </a:graphicData>
            </a:graphic>
          </wp:inline>
        </w:drawing>
      </w:r>
    </w:p>
    <w:p>
      <w:pPr>
        <w:spacing w:before="0" w:after="80"/>
      </w:pPr>
      <w:r>
        <w:rPr>
          <w:rFonts w:ascii="Arial" w:hAnsi="Arial"/>
          <w:b/>
          <w:i w:val="0"/>
          <w:color w:val="111111"/>
          <w:sz w:val="52"/>
        </w:rPr>
        <w:t>SEC Filings Research Assistant</w:t>
      </w:r>
    </w:p>
    <w:p>
      <w:pPr>
        <w:spacing w:before="0" w:after="880"/>
      </w:pPr>
      <w:r>
        <w:rPr>
          <w:rFonts w:ascii="Arial" w:hAnsi="Arial"/>
          <w:b w:val="0"/>
          <w:i w:val="0"/>
          <w:color w:val="666666"/>
          <w:sz w:val="26"/>
        </w:rPr>
        <w:t>Answering diligence questions from SEC filings, with every claim traceable to a filing and a period.</w:t>
      </w:r>
    </w:p>
    <w:p>
      <w:pPr>
        <w:spacing w:before="0" w:after="40"/>
      </w:pPr>
      <w:r>
        <w:rPr>
          <w:rFonts w:ascii="Arial" w:hAnsi="Arial"/>
          <w:b/>
          <w:i w:val="0"/>
          <w:color w:val="666666"/>
          <w:sz w:val="18"/>
        </w:rPr>
        <w:t>Prepared for</w:t>
      </w:r>
    </w:p>
    <w:p>
      <w:pPr>
        <w:spacing w:before="0" w:after="320"/>
      </w:pPr>
      <w:r>
        <w:rPr>
          <w:rFonts w:ascii="Arial" w:hAnsi="Arial"/>
          <w:b w:val="0"/>
          <w:i w:val="0"/>
          <w:color w:val="111111"/>
          <w:sz w:val="22"/>
        </w:rPr>
        <w:t>Private equity diligence team</w:t>
      </w:r>
    </w:p>
    <w:p>
      <w:pPr>
        <w:spacing w:before="0" w:after="40"/>
      </w:pPr>
      <w:r>
        <w:rPr>
          <w:rFonts w:ascii="Arial" w:hAnsi="Arial"/>
          <w:b/>
          <w:i w:val="0"/>
          <w:color w:val="666666"/>
          <w:sz w:val="18"/>
        </w:rPr>
        <w:t>Prepared by</w:t>
      </w:r>
    </w:p>
    <w:p>
      <w:pPr>
        <w:spacing w:before="0" w:after="20"/>
      </w:pPr>
      <w:r>
        <w:rPr>
          <w:rFonts w:ascii="Arial" w:hAnsi="Arial"/>
          <w:b/>
          <w:i w:val="0"/>
          <w:color w:val="111111"/>
          <w:sz w:val="22"/>
        </w:rPr>
        <w:t>Jordan Taylor</w:t>
      </w:r>
    </w:p>
    <w:p>
      <w:pPr>
        <w:spacing w:before="0" w:after="320"/>
      </w:pPr>
      <w:r>
        <w:rPr>
          <w:rFonts w:ascii="Arial" w:hAnsi="Arial"/>
          <w:b w:val="0"/>
          <w:i w:val="0"/>
          <w:color w:val="666666"/>
          <w:sz w:val="20"/>
        </w:rPr>
        <w:t>Forward Deployed Engineer, eliza</w:t>
      </w:r>
    </w:p>
    <w:p>
      <w:pPr>
        <w:spacing w:before="0" w:after="40"/>
      </w:pPr>
      <w:r>
        <w:rPr>
          <w:rFonts w:ascii="Arial" w:hAnsi="Arial"/>
          <w:b/>
          <w:i w:val="0"/>
          <w:color w:val="666666"/>
          <w:sz w:val="18"/>
        </w:rPr>
        <w:t>Date</w:t>
      </w:r>
    </w:p>
    <w:p>
      <w:pPr>
        <w:spacing w:before="0" w:after="600"/>
      </w:pPr>
      <w:r>
        <w:rPr>
          <w:rFonts w:ascii="Arial" w:hAnsi="Arial"/>
          <w:b w:val="0"/>
          <w:i w:val="0"/>
          <w:color w:val="111111"/>
          <w:sz w:val="22"/>
        </w:rPr>
        <w:t>20 August 2026</w:t>
      </w:r>
    </w:p>
    <w:p>
      <w:pPr>
        <w:spacing w:before="0" w:after="160"/>
      </w:pPr>
      <w:r>
        <w:rPr>
          <w:rFonts w:ascii="Arial" w:hAnsi="Arial"/>
          <w:b w:val="0"/>
          <w:i w:val="0"/>
          <w:color w:val="666666"/>
          <w:sz w:val="17"/>
        </w:rPr>
        <w:t>Corpus: 246 SEC filings (10-K and 10-Q) from 54 US public companies, 2023–2025.  Build e42156f.</w:t>
      </w:r>
    </w:p>
    <w:p>
      <w:r>
        <w:br w:type="page"/>
      </w:r>
    </w:p>
    <w:p>
      <w:pPr>
        <w:spacing w:before="400" w:after="120"/>
        <w:pBdr>
          <w:bottom w:val="single" w:sz="6" w:space="4" w:color="D8D8D8"/>
        </w:pBdr>
      </w:pPr>
      <w:r>
        <w:rPr>
          <w:rFonts w:ascii="Arial" w:hAnsi="Arial"/>
          <w:b/>
          <w:i w:val="0"/>
          <w:color w:val="111111"/>
          <w:sz w:val="30"/>
        </w:rPr>
        <w:t>What this is</w:t>
      </w:r>
    </w:p>
    <w:p>
      <w:pPr>
        <w:spacing w:before="0" w:after="160"/>
      </w:pPr>
      <w:r>
        <w:rPr>
          <w:rFonts w:ascii="Arial" w:hAnsi="Arial"/>
          <w:b w:val="0"/>
          <w:i w:val="0"/>
          <w:color w:val="111111"/>
          <w:sz w:val="21"/>
        </w:rPr>
        <w:t>A research assistant for SEC filings. You ask a business question in plain English; it finds the relevant passages across 246 filings and returns a structured answer in which every claim carries a citation back to a specific filing, period and section.</w:t>
      </w:r>
    </w:p>
    <w:p>
      <w:pPr>
        <w:spacing w:before="0" w:after="160"/>
      </w:pPr>
      <w:r>
        <w:rPr>
          <w:rFonts w:ascii="Arial" w:hAnsi="Arial"/>
          <w:b w:val="0"/>
          <w:color w:val="111111"/>
          <w:sz w:val="21"/>
        </w:rPr>
        <w:t xml:space="preserve">It is deliberately a </w:t>
      </w:r>
      <w:r>
        <w:rPr>
          <w:rFonts w:ascii="Arial" w:hAnsi="Arial"/>
          <w:b/>
          <w:color w:val="111111"/>
          <w:sz w:val="21"/>
        </w:rPr>
        <w:t>research tool, not an oracle</w:t>
      </w:r>
      <w:r>
        <w:rPr>
          <w:rFonts w:ascii="Arial" w:hAnsi="Arial"/>
          <w:b w:val="0"/>
          <w:color w:val="111111"/>
          <w:sz w:val="21"/>
        </w:rPr>
        <w:t>. The design goal was not to answer as many questions as possible — it was to make the system's limits visible, so an analyst always knows what an answer is standing on. A tool that tells you when it does not know is one you can put in front of an investment committee.</w:t>
      </w:r>
    </w:p>
    <w:p>
      <w:pPr>
        <w:spacing w:before="280" w:after="80"/>
      </w:pPr>
      <w:r>
        <w:rPr>
          <w:rFonts w:ascii="Arial" w:hAnsi="Arial"/>
          <w:b/>
          <w:i w:val="0"/>
          <w:color w:val="111111"/>
          <w:sz w:val="23"/>
        </w:rPr>
        <w:t>What we demonstrated</w:t>
      </w:r>
    </w:p>
    <w:tbl>
      <w:tblPr>
        <w:tblStyle w:val="TableGrid"/>
        <w:tblW w:type="auto" w:w="0"/>
        <w:jc w:val="left"/>
        <w:tblLook w:firstColumn="1" w:firstRow="1" w:lastColumn="0" w:lastRow="0" w:noHBand="0" w:noVBand="1" w:val="04A0"/>
      </w:tblPr>
      <w:tblGrid>
        <w:gridCol w:w="4680"/>
        <w:gridCol w:w="4680"/>
      </w:tblGrid>
      <w:tr>
        <w:tc>
          <w:tcPr>
            <w:tcW w:type="dxa" w:w="3456"/>
            <w:shd w:val="clear" w:fill="F2F2F2"/>
          </w:tcPr>
          <w:p>
            <w:r/>
            <w:r>
              <w:rPr>
                <w:rFonts w:ascii="Arial" w:hAnsi="Arial"/>
                <w:b/>
                <w:color w:val="111111"/>
                <w:sz w:val="18"/>
              </w:rPr>
              <w:t>Question you asked</w:t>
            </w:r>
          </w:p>
        </w:tc>
        <w:tc>
          <w:tcPr>
            <w:tcW w:type="dxa" w:w="5904"/>
            <w:shd w:val="clear" w:fill="F2F2F2"/>
          </w:tcPr>
          <w:p>
            <w:r/>
            <w:r>
              <w:rPr>
                <w:rFonts w:ascii="Arial" w:hAnsi="Arial"/>
                <w:b/>
                <w:color w:val="111111"/>
                <w:sz w:val="18"/>
              </w:rPr>
              <w:t>What it showed</w:t>
            </w:r>
          </w:p>
        </w:tc>
      </w:tr>
      <w:tr>
        <w:tc>
          <w:tcPr>
            <w:tcW w:type="dxa" w:w="3456"/>
          </w:tcPr>
          <w:p>
            <w:pPr>
              <w:spacing w:after="40"/>
            </w:pPr>
            <w:r/>
            <w:r>
              <w:rPr>
                <w:rFonts w:ascii="Arial" w:hAnsi="Arial"/>
                <w:color w:val="111111"/>
                <w:sz w:val="18"/>
              </w:rPr>
              <w:t>Primary risk factors facing Apple, Tesla and JPMorgan, compared</w:t>
            </w:r>
          </w:p>
        </w:tc>
        <w:tc>
          <w:tcPr>
            <w:tcW w:type="dxa" w:w="5904"/>
          </w:tcPr>
          <w:p>
            <w:pPr>
              <w:spacing w:after="40"/>
            </w:pPr>
            <w:r/>
            <w:r>
              <w:rPr>
                <w:rFonts w:ascii="Arial" w:hAnsi="Arial"/>
                <w:color w:val="111111"/>
                <w:sz w:val="18"/>
              </w:rPr>
              <w:t>Multi-company retrieval with a guaranteed budget per company, so no company is crowded out by whichever writes the most vivid prose.</w:t>
            </w:r>
          </w:p>
        </w:tc>
      </w:tr>
      <w:tr>
        <w:tc>
          <w:tcPr>
            <w:tcW w:type="dxa" w:w="3456"/>
          </w:tcPr>
          <w:p>
            <w:pPr>
              <w:spacing w:after="40"/>
            </w:pPr>
            <w:r/>
            <w:r>
              <w:rPr>
                <w:rFonts w:ascii="Arial" w:hAnsi="Arial"/>
                <w:color w:val="111111"/>
                <w:sz w:val="18"/>
              </w:rPr>
              <w:t>How NVIDIA's revenue and growth outlook changed over two years</w:t>
            </w:r>
          </w:p>
        </w:tc>
        <w:tc>
          <w:tcPr>
            <w:tcW w:type="dxa" w:w="5904"/>
          </w:tcPr>
          <w:p>
            <w:pPr>
              <w:spacing w:after="40"/>
            </w:pPr>
            <w:r/>
            <w:r>
              <w:rPr>
                <w:rFonts w:ascii="Arial" w:hAnsi="Arial"/>
                <w:color w:val="111111"/>
                <w:sz w:val="18"/>
              </w:rPr>
              <w:t>Period-aware retrieval across annual and quarterly filings, with figures that keep the scale they were reported in.</w:t>
            </w:r>
          </w:p>
        </w:tc>
      </w:tr>
      <w:tr>
        <w:tc>
          <w:tcPr>
            <w:tcW w:type="dxa" w:w="3456"/>
          </w:tcPr>
          <w:p>
            <w:pPr>
              <w:spacing w:after="40"/>
            </w:pPr>
            <w:r/>
            <w:r>
              <w:rPr>
                <w:rFonts w:ascii="Arial" w:hAnsi="Arial"/>
                <w:color w:val="111111"/>
                <w:sz w:val="18"/>
              </w:rPr>
              <w:t>Regulatory risks facing major pharmaceutical companies</w:t>
            </w:r>
          </w:p>
        </w:tc>
        <w:tc>
          <w:tcPr>
            <w:tcW w:type="dxa" w:w="5904"/>
          </w:tcPr>
          <w:p>
            <w:pPr>
              <w:spacing w:after="40"/>
            </w:pPr>
            <w:r/>
            <w:r>
              <w:rPr>
                <w:rFonts w:ascii="Arial" w:hAnsi="Arial"/>
                <w:color w:val="111111"/>
                <w:sz w:val="18"/>
              </w:rPr>
              <w:t>An industry-level question answered with an explicit statement of how thin the underlying coverage is.</w:t>
            </w:r>
          </w:p>
        </w:tc>
      </w:tr>
      <w:tr>
        <w:tc>
          <w:tcPr>
            <w:tcW w:type="dxa" w:w="3456"/>
          </w:tcPr>
          <w:p>
            <w:pPr>
              <w:spacing w:after="40"/>
            </w:pPr>
            <w:r/>
            <w:r>
              <w:rPr>
                <w:rFonts w:ascii="Arial" w:hAnsi="Arial"/>
                <w:color w:val="111111"/>
                <w:sz w:val="18"/>
              </w:rPr>
              <w:t>A company outside the corpus (Shopify)</w:t>
            </w:r>
          </w:p>
        </w:tc>
        <w:tc>
          <w:tcPr>
            <w:tcW w:type="dxa" w:w="5904"/>
          </w:tcPr>
          <w:p>
            <w:pPr>
              <w:spacing w:after="40"/>
            </w:pPr>
            <w:r/>
            <w:r>
              <w:rPr>
                <w:rFonts w:ascii="Arial" w:hAnsi="Arial"/>
                <w:color w:val="111111"/>
                <w:sz w:val="18"/>
              </w:rPr>
              <w:t>A refusal by name, with no findings invented for other companies.</w:t>
            </w:r>
          </w:p>
        </w:tc>
      </w:tr>
    </w:tbl>
    <w:p>
      <w:pPr>
        <w:spacing w:after="80"/>
      </w:pPr>
    </w:p>
    <w:p>
      <w:pPr>
        <w:spacing w:before="400" w:after="120"/>
        <w:pBdr>
          <w:bottom w:val="single" w:sz="6" w:space="4" w:color="D8D8D8"/>
        </w:pBdr>
      </w:pPr>
      <w:r>
        <w:rPr>
          <w:rFonts w:ascii="Arial" w:hAnsi="Arial"/>
          <w:b/>
          <w:i w:val="0"/>
          <w:color w:val="111111"/>
          <w:sz w:val="30"/>
        </w:rPr>
        <w:t>Why the answers are trustworthy</w:t>
      </w:r>
    </w:p>
    <w:p>
      <w:pPr>
        <w:spacing w:before="0" w:after="200"/>
      </w:pPr>
      <w:r>
        <w:rPr>
          <w:rFonts w:ascii="Arial" w:hAnsi="Arial"/>
          <w:b w:val="0"/>
          <w:i w:val="0"/>
          <w:color w:val="111111"/>
          <w:sz w:val="21"/>
        </w:rPr>
        <w:t>Four behaviours exist specifically to prevent a confident, well-written, wrong answer. Each was built because measurement showed the failure was possible.</w:t>
      </w:r>
    </w:p>
    <w:p>
      <w:pPr>
        <w:spacing w:before="0" w:after="140"/>
      </w:pPr>
      <w:r>
        <w:rPr>
          <w:rFonts w:ascii="Arial" w:hAnsi="Arial"/>
          <w:b/>
          <w:color w:val="111111"/>
          <w:sz w:val="21"/>
        </w:rPr>
        <w:t xml:space="preserve">It refuses questions it cannot support. </w:t>
      </w:r>
      <w:r>
        <w:rPr>
          <w:rFonts w:ascii="Arial" w:hAnsi="Arial"/>
          <w:b w:val="0"/>
          <w:color w:val="111111"/>
          <w:sz w:val="21"/>
        </w:rPr>
        <w:t>Asked about a company with no filings in the corpus, it says so by name and does not answer for anyone else. Before this rule existed, the same question refused correctly and then wrote findings for nine other companies.</w:t>
      </w:r>
    </w:p>
    <w:p>
      <w:pPr>
        <w:spacing w:before="0" w:after="140"/>
      </w:pPr>
      <w:r>
        <w:rPr>
          <w:rFonts w:ascii="Arial" w:hAnsi="Arial"/>
          <w:b/>
          <w:color w:val="111111"/>
          <w:sz w:val="21"/>
        </w:rPr>
        <w:t xml:space="preserve">Every answer states what it is standing on. </w:t>
      </w:r>
      <w:r>
        <w:rPr>
          <w:rFonts w:ascii="Arial" w:hAnsi="Arial"/>
          <w:b w:val="0"/>
          <w:color w:val="111111"/>
          <w:sz w:val="21"/>
        </w:rPr>
        <w:t>In distinct filings, not passages. For the pharmaceutical question, two companies have real multi-year coverage and the others have a single filing each — the answer says so, in the answer, rather than leaving it to be discovered.</w:t>
      </w:r>
    </w:p>
    <w:p>
      <w:pPr>
        <w:spacing w:before="0" w:after="140"/>
      </w:pPr>
      <w:r>
        <w:rPr>
          <w:rFonts w:ascii="Arial" w:hAnsi="Arial"/>
          <w:b/>
          <w:color w:val="111111"/>
          <w:sz w:val="21"/>
        </w:rPr>
        <w:t xml:space="preserve">Quarterly risk disclosures are labelled as amendments. </w:t>
      </w:r>
      <w:r>
        <w:rPr>
          <w:rFonts w:ascii="Arial" w:hAnsi="Arial"/>
          <w:b w:val="0"/>
          <w:color w:val="111111"/>
          <w:sz w:val="21"/>
        </w:rPr>
        <w:t>A 10-Q's risk section reports only material changes since the annual report. Unlabelled, an answer built from one presents an amendment as a complete risk profile. In the worst case measured, that was a 562-word section standing in for one ten times its length.</w:t>
      </w:r>
    </w:p>
    <w:p>
      <w:pPr>
        <w:spacing w:before="0" w:after="140"/>
      </w:pPr>
      <w:r>
        <w:rPr>
          <w:rFonts w:ascii="Arial" w:hAnsi="Arial"/>
          <w:b/>
          <w:color w:val="111111"/>
          <w:sz w:val="21"/>
        </w:rPr>
        <w:t xml:space="preserve">Citations are verified, not trusted. </w:t>
      </w:r>
      <w:r>
        <w:rPr>
          <w:rFonts w:ascii="Arial" w:hAnsi="Arial"/>
          <w:b w:val="0"/>
          <w:color w:val="111111"/>
          <w:sz w:val="21"/>
        </w:rPr>
        <w:t>Every citation handle is checked against the passages actually retrieved. A handle that resolves to nothing is flagged on screen rather than quietly removed, because a citation you cannot check is worse than no citation.</w:t>
      </w:r>
    </w:p>
    <w:p>
      <w:pPr>
        <w:spacing w:before="280" w:after="80"/>
      </w:pPr>
      <w:r>
        <w:rPr>
          <w:rFonts w:ascii="Arial" w:hAnsi="Arial"/>
          <w:b/>
          <w:i w:val="0"/>
          <w:color w:val="111111"/>
          <w:sz w:val="23"/>
        </w:rPr>
        <w:t>One model call per question</w:t>
      </w:r>
    </w:p>
    <w:p>
      <w:pPr>
        <w:spacing w:before="0" w:after="160"/>
      </w:pPr>
      <w:r>
        <w:rPr>
          <w:rFonts w:ascii="Arial" w:hAnsi="Arial"/>
          <w:b w:val="0"/>
          <w:i w:val="0"/>
          <w:color w:val="111111"/>
          <w:sz w:val="21"/>
        </w:rPr>
        <w:t>Search, entity resolution, ranking and coverage analysis are all deterministic and happen before a single language-model call produces the answer. This matters commercially: cost per question is predictable, and the pipeline can be audited step by step without re-running the model.</w:t>
      </w:r>
    </w:p>
    <w:p>
      <w:r>
        <w:br w:type="page"/>
      </w:r>
    </w:p>
    <w:p>
      <w:pPr>
        <w:spacing w:before="400" w:after="120"/>
        <w:pBdr>
          <w:bottom w:val="single" w:sz="6" w:space="4" w:color="D8D8D8"/>
        </w:pBdr>
      </w:pPr>
      <w:r>
        <w:rPr>
          <w:rFonts w:ascii="Arial" w:hAnsi="Arial"/>
          <w:b/>
          <w:i w:val="0"/>
          <w:color w:val="111111"/>
          <w:sz w:val="30"/>
        </w:rPr>
        <w:t>How a question becomes an answer</w:t>
      </w:r>
    </w:p>
    <w:p>
      <w:pPr>
        <w:spacing w:before="0" w:after="160"/>
      </w:pPr>
      <w:r>
        <w:rPr>
          <w:rFonts w:ascii="Arial" w:hAnsi="Arial"/>
          <w:b w:val="0"/>
          <w:i w:val="0"/>
          <w:color w:val="111111"/>
          <w:sz w:val="21"/>
        </w:rPr>
        <w:t>Two separate processes. The first runs once, over the whole corpus. The second runs each time a question is asked, and everything in it is deterministic — the language model is only involved at the final step.</w:t>
      </w:r>
    </w:p>
    <w:p>
      <w:pPr>
        <w:spacing w:before="280" w:after="80"/>
      </w:pPr>
      <w:r>
        <w:rPr>
          <w:rFonts w:ascii="Arial" w:hAnsi="Arial"/>
          <w:b/>
          <w:i w:val="0"/>
          <w:color w:val="111111"/>
          <w:sz w:val="23"/>
        </w:rPr>
        <w:t>Indexing — done once, up front</w:t>
      </w:r>
    </w:p>
    <w:tbl>
      <w:tblPr>
        <w:tblStyle w:val="TableGrid"/>
        <w:tblW w:type="auto" w:w="0"/>
        <w:jc w:val="left"/>
        <w:tblLook w:firstColumn="1" w:firstRow="1" w:lastColumn="0" w:lastRow="0" w:noHBand="0" w:noVBand="1" w:val="04A0"/>
      </w:tblPr>
      <w:tblGrid>
        <w:gridCol w:w="4680"/>
        <w:gridCol w:w="4680"/>
      </w:tblGrid>
      <w:tr>
        <w:tc>
          <w:tcPr>
            <w:tcW w:type="dxa" w:w="2160"/>
            <w:shd w:val="clear" w:fill="F2F2F2"/>
          </w:tcPr>
          <w:p>
            <w:r/>
            <w:r>
              <w:rPr>
                <w:rFonts w:ascii="Arial" w:hAnsi="Arial"/>
                <w:b/>
                <w:color w:val="111111"/>
                <w:sz w:val="18"/>
              </w:rPr>
              <w:t>Step</w:t>
            </w:r>
          </w:p>
        </w:tc>
        <w:tc>
          <w:tcPr>
            <w:tcW w:type="dxa" w:w="7200"/>
            <w:shd w:val="clear" w:fill="F2F2F2"/>
          </w:tcPr>
          <w:p>
            <w:r/>
            <w:r>
              <w:rPr>
                <w:rFonts w:ascii="Arial" w:hAnsi="Arial"/>
                <w:b/>
                <w:color w:val="111111"/>
                <w:sz w:val="18"/>
              </w:rPr>
              <w:t>What happens, and why</w:t>
            </w:r>
          </w:p>
        </w:tc>
      </w:tr>
      <w:tr>
        <w:tc>
          <w:tcPr>
            <w:tcW w:type="dxa" w:w="2160"/>
          </w:tcPr>
          <w:p>
            <w:pPr>
              <w:spacing w:after="40"/>
            </w:pPr>
            <w:r/>
            <w:r>
              <w:rPr>
                <w:rFonts w:ascii="Arial" w:hAnsi="Arial"/>
                <w:color w:val="111111"/>
                <w:sz w:val="18"/>
              </w:rPr>
              <w:t>Read and segment</w:t>
            </w:r>
          </w:p>
        </w:tc>
        <w:tc>
          <w:tcPr>
            <w:tcW w:type="dxa" w:w="7200"/>
          </w:tcPr>
          <w:p>
            <w:pPr>
              <w:spacing w:after="40"/>
            </w:pPr>
            <w:r/>
            <w:r>
              <w:rPr>
                <w:rFonts w:ascii="Arial" w:hAnsi="Arial"/>
                <w:color w:val="111111"/>
                <w:sz w:val="18"/>
              </w:rPr>
              <w:t>Each filing is split into the sections a reader would recognise — Risk Factors, Management's Discussion, Financial Statements — and every extracted passage keeps the company, the period it covers and the section it came from. That metadata is not bookkeeping: it is how the system later answers “what does Apple say about X” rather than “something says X”.</w:t>
            </w:r>
          </w:p>
        </w:tc>
      </w:tr>
      <w:tr>
        <w:tc>
          <w:tcPr>
            <w:tcW w:type="dxa" w:w="2160"/>
          </w:tcPr>
          <w:p>
            <w:pPr>
              <w:spacing w:after="40"/>
            </w:pPr>
            <w:r/>
            <w:r>
              <w:rPr>
                <w:rFonts w:ascii="Arial" w:hAnsi="Arial"/>
                <w:color w:val="111111"/>
                <w:sz w:val="18"/>
              </w:rPr>
              <w:t>Clean</w:t>
            </w:r>
          </w:p>
        </w:tc>
        <w:tc>
          <w:tcPr>
            <w:tcW w:type="dxa" w:w="7200"/>
          </w:tcPr>
          <w:p>
            <w:pPr>
              <w:spacing w:after="40"/>
            </w:pPr>
            <w:r/>
            <w:r>
              <w:rPr>
                <w:rFonts w:ascii="Arial" w:hAnsi="Arial"/>
                <w:color w:val="111111"/>
                <w:sz w:val="18"/>
              </w:rPr>
              <w:t>Tagging residue is removed, paragraph boundaries absent from the source text are reconstructed, and each table is kept with the caption stating its units and the row naming its periods. Without this last step a figure can arrive without its scale.</w:t>
            </w:r>
          </w:p>
        </w:tc>
      </w:tr>
      <w:tr>
        <w:tc>
          <w:tcPr>
            <w:tcW w:type="dxa" w:w="2160"/>
          </w:tcPr>
          <w:p>
            <w:pPr>
              <w:spacing w:after="40"/>
            </w:pPr>
            <w:r/>
            <w:r>
              <w:rPr>
                <w:rFonts w:ascii="Arial" w:hAnsi="Arial"/>
                <w:color w:val="111111"/>
                <w:sz w:val="18"/>
              </w:rPr>
              <w:t>Divide into passages</w:t>
            </w:r>
          </w:p>
        </w:tc>
        <w:tc>
          <w:tcPr>
            <w:tcW w:type="dxa" w:w="7200"/>
          </w:tcPr>
          <w:p>
            <w:pPr>
              <w:spacing w:after="40"/>
            </w:pPr>
            <w:r/>
            <w:r>
              <w:rPr>
                <w:rFonts w:ascii="Arial" w:hAnsi="Arial"/>
                <w:color w:val="111111"/>
                <w:sz w:val="18"/>
              </w:rPr>
              <w:t>Passages of a few hundred words, cut at natural boundaries rather than at a fixed length. The average individual risk disclosure in these filings is about the same size, so a passage tends to correspond to one disclosure rather than to half of two. The 246 filings produce 30,383 passages.</w:t>
            </w:r>
          </w:p>
        </w:tc>
      </w:tr>
      <w:tr>
        <w:tc>
          <w:tcPr>
            <w:tcW w:type="dxa" w:w="2160"/>
          </w:tcPr>
          <w:p>
            <w:pPr>
              <w:spacing w:after="40"/>
            </w:pPr>
            <w:r/>
            <w:r>
              <w:rPr>
                <w:rFonts w:ascii="Arial" w:hAnsi="Arial"/>
                <w:color w:val="111111"/>
                <w:sz w:val="18"/>
              </w:rPr>
              <w:t>Index twice</w:t>
            </w:r>
          </w:p>
        </w:tc>
        <w:tc>
          <w:tcPr>
            <w:tcW w:type="dxa" w:w="7200"/>
          </w:tcPr>
          <w:p>
            <w:pPr>
              <w:spacing w:after="40"/>
            </w:pPr>
            <w:r/>
            <w:r>
              <w:rPr>
                <w:rFonts w:ascii="Arial" w:hAnsi="Arial"/>
                <w:color w:val="111111"/>
                <w:sz w:val="18"/>
              </w:rPr>
              <w:t>Every passage is indexed two ways: once for exact wording, once for meaning. Why both is the next section.</w:t>
            </w:r>
          </w:p>
        </w:tc>
      </w:tr>
    </w:tbl>
    <w:p>
      <w:pPr>
        <w:spacing w:after="80"/>
      </w:pPr>
    </w:p>
    <w:p>
      <w:pPr>
        <w:spacing w:before="280" w:after="80"/>
      </w:pPr>
      <w:r>
        <w:rPr>
          <w:rFonts w:ascii="Arial" w:hAnsi="Arial"/>
          <w:b/>
          <w:i w:val="0"/>
          <w:color w:val="111111"/>
          <w:sz w:val="23"/>
        </w:rPr>
        <w:t>Why two indexes</w:t>
      </w:r>
    </w:p>
    <w:p>
      <w:pPr>
        <w:spacing w:before="0" w:after="120"/>
      </w:pPr>
      <w:r>
        <w:rPr>
          <w:rFonts w:ascii="Arial" w:hAnsi="Arial"/>
          <w:b w:val="0"/>
          <w:i w:val="0"/>
          <w:color w:val="111111"/>
          <w:sz w:val="21"/>
        </w:rPr>
        <w:t>This is the single most consequential design decision, and it follows from how filings are written versus how analysts ask.</w:t>
      </w:r>
    </w:p>
    <w:tbl>
      <w:tblPr>
        <w:tblStyle w:val="TableGrid"/>
        <w:tblW w:type="auto" w:w="0"/>
        <w:jc w:val="left"/>
        <w:tblLook w:firstColumn="1" w:firstRow="1" w:lastColumn="0" w:lastRow="0" w:noHBand="0" w:noVBand="1" w:val="04A0"/>
      </w:tblPr>
      <w:tblGrid>
        <w:gridCol w:w="3120"/>
        <w:gridCol w:w="3120"/>
        <w:gridCol w:w="3120"/>
      </w:tblGrid>
      <w:tr>
        <w:tc>
          <w:tcPr>
            <w:tcW w:type="dxa" w:w="1584"/>
            <w:shd w:val="clear" w:fill="F2F2F2"/>
          </w:tcPr>
          <w:p>
            <w:r/>
            <w:r>
              <w:rPr>
                <w:rFonts w:ascii="Arial" w:hAnsi="Arial"/>
                <w:b/>
                <w:color w:val="111111"/>
                <w:sz w:val="18"/>
              </w:rPr>
              <w:t>Search by</w:t>
            </w:r>
          </w:p>
        </w:tc>
        <w:tc>
          <w:tcPr>
            <w:tcW w:type="dxa" w:w="3744"/>
            <w:shd w:val="clear" w:fill="F2F2F2"/>
          </w:tcPr>
          <w:p>
            <w:r/>
            <w:r>
              <w:rPr>
                <w:rFonts w:ascii="Arial" w:hAnsi="Arial"/>
                <w:b/>
                <w:color w:val="111111"/>
                <w:sz w:val="18"/>
              </w:rPr>
              <w:t>Finds</w:t>
            </w:r>
          </w:p>
        </w:tc>
        <w:tc>
          <w:tcPr>
            <w:tcW w:type="dxa" w:w="4032"/>
            <w:shd w:val="clear" w:fill="F2F2F2"/>
          </w:tcPr>
          <w:p>
            <w:r/>
            <w:r>
              <w:rPr>
                <w:rFonts w:ascii="Arial" w:hAnsi="Arial"/>
                <w:b/>
                <w:color w:val="111111"/>
                <w:sz w:val="18"/>
              </w:rPr>
              <w:t>Which matters because</w:t>
            </w:r>
          </w:p>
        </w:tc>
      </w:tr>
      <w:tr>
        <w:tc>
          <w:tcPr>
            <w:tcW w:type="dxa" w:w="1584"/>
          </w:tcPr>
          <w:p>
            <w:pPr>
              <w:spacing w:after="40"/>
            </w:pPr>
            <w:r/>
            <w:r>
              <w:rPr>
                <w:rFonts w:ascii="Arial" w:hAnsi="Arial"/>
                <w:color w:val="111111"/>
                <w:sz w:val="18"/>
              </w:rPr>
              <w:t>Exact wording</w:t>
            </w:r>
          </w:p>
        </w:tc>
        <w:tc>
          <w:tcPr>
            <w:tcW w:type="dxa" w:w="3744"/>
          </w:tcPr>
          <w:p>
            <w:pPr>
              <w:spacing w:after="40"/>
            </w:pPr>
            <w:r/>
            <w:r>
              <w:rPr>
                <w:rFonts w:ascii="Arial" w:hAnsi="Arial"/>
                <w:color w:val="111111"/>
                <w:sz w:val="18"/>
              </w:rPr>
              <w:t>Named entities, statutes, programmes, tickers — “CHIPS Act”, “Section 232”, “AAPL”</w:t>
            </w:r>
          </w:p>
        </w:tc>
        <w:tc>
          <w:tcPr>
            <w:tcW w:type="dxa" w:w="4032"/>
          </w:tcPr>
          <w:p>
            <w:pPr>
              <w:spacing w:after="40"/>
            </w:pPr>
            <w:r/>
            <w:r>
              <w:rPr>
                <w:rFonts w:ascii="Arial" w:hAnsi="Arial"/>
                <w:color w:val="111111"/>
                <w:sz w:val="18"/>
              </w:rPr>
              <w:t>Filings are dense with precise identifiers, and a near-miss on one of them is a wrong answer, not a slightly worse one.</w:t>
            </w:r>
          </w:p>
        </w:tc>
      </w:tr>
      <w:tr>
        <w:tc>
          <w:tcPr>
            <w:tcW w:type="dxa" w:w="1584"/>
          </w:tcPr>
          <w:p>
            <w:pPr>
              <w:spacing w:after="40"/>
            </w:pPr>
            <w:r/>
            <w:r>
              <w:rPr>
                <w:rFonts w:ascii="Arial" w:hAnsi="Arial"/>
                <w:color w:val="111111"/>
                <w:sz w:val="18"/>
              </w:rPr>
              <w:t>Meaning</w:t>
            </w:r>
          </w:p>
        </w:tc>
        <w:tc>
          <w:tcPr>
            <w:tcW w:type="dxa" w:w="3744"/>
          </w:tcPr>
          <w:p>
            <w:pPr>
              <w:spacing w:after="40"/>
            </w:pPr>
            <w:r/>
            <w:r>
              <w:rPr>
                <w:rFonts w:ascii="Arial" w:hAnsi="Arial"/>
                <w:color w:val="111111"/>
                <w:sz w:val="18"/>
              </w:rPr>
              <w:t>Concepts phrased differently from the filing — “supplier concentration” finding “we depend on a limited number of vendors”</w:t>
            </w:r>
          </w:p>
        </w:tc>
        <w:tc>
          <w:tcPr>
            <w:tcW w:type="dxa" w:w="4032"/>
          </w:tcPr>
          <w:p>
            <w:pPr>
              <w:spacing w:after="40"/>
            </w:pPr>
            <w:r/>
            <w:r>
              <w:rPr>
                <w:rFonts w:ascii="Arial" w:hAnsi="Arial"/>
                <w:color w:val="111111"/>
                <w:sz w:val="18"/>
              </w:rPr>
              <w:t>Analysts ask in their own words. A filing almost never uses the phrasing of the question put to it.</w:t>
            </w:r>
          </w:p>
        </w:tc>
      </w:tr>
    </w:tbl>
    <w:p>
      <w:pPr>
        <w:spacing w:after="80"/>
      </w:pPr>
    </w:p>
    <w:p>
      <w:pPr>
        <w:spacing w:before="80" w:after="160"/>
      </w:pPr>
      <w:r>
        <w:rPr>
          <w:rFonts w:ascii="Arial" w:hAnsi="Arial"/>
          <w:b/>
          <w:color w:val="111111"/>
          <w:sz w:val="21"/>
        </w:rPr>
        <w:t xml:space="preserve">Either alone leaves a visible gap. </w:t>
      </w:r>
      <w:r>
        <w:rPr>
          <w:rFonts w:ascii="Arial" w:hAnsi="Arial"/>
          <w:b w:val="0"/>
          <w:color w:val="111111"/>
          <w:sz w:val="21"/>
        </w:rPr>
        <w:t>Exact-wording search misses the paraphrase; meaning-based search retrieves passages that are topically right and about the wrong company. The two result lists are combined by position rather than by score, so neither has to be calibrated against the other — a design that stays stable as the corpus grows.</w:t>
      </w:r>
    </w:p>
    <w:p>
      <w:pPr>
        <w:spacing w:before="280" w:after="80"/>
      </w:pPr>
      <w:r>
        <w:rPr>
          <w:rFonts w:ascii="Arial" w:hAnsi="Arial"/>
          <w:b/>
          <w:i w:val="0"/>
          <w:color w:val="111111"/>
          <w:sz w:val="23"/>
        </w:rPr>
        <w:t>Retrieval — per question</w:t>
      </w:r>
    </w:p>
    <w:p>
      <w:pPr>
        <w:spacing w:before="0" w:after="100"/>
        <w:ind w:left="0"/>
      </w:pPr>
      <w:r>
        <w:rPr>
          <w:rFonts w:ascii="Arial" w:hAnsi="Arial"/>
          <w:b/>
          <w:color w:val="111111"/>
          <w:sz w:val="21"/>
        </w:rPr>
        <w:t xml:space="preserve">Understand the question. </w:t>
      </w:r>
      <w:r>
        <w:rPr>
          <w:rFonts w:ascii="Arial" w:hAnsi="Arial"/>
          <w:b w:val="0"/>
          <w:color w:val="111111"/>
          <w:sz w:val="21"/>
        </w:rPr>
        <w:t>Which companies, which periods, annual or quarterly. Rule-based, with no model call, so the same question always resolves the same way and the result is auditable.</w:t>
      </w:r>
    </w:p>
    <w:p>
      <w:pPr>
        <w:spacing w:before="0" w:after="100"/>
        <w:ind w:left="0"/>
      </w:pPr>
      <w:r>
        <w:rPr>
          <w:rFonts w:ascii="Arial" w:hAnsi="Arial"/>
          <w:b/>
          <w:color w:val="111111"/>
          <w:sz w:val="21"/>
        </w:rPr>
        <w:t xml:space="preserve">Search both indexes and combine. </w:t>
      </w:r>
      <w:r>
        <w:rPr>
          <w:rFonts w:ascii="Arial" w:hAnsi="Arial"/>
          <w:b w:val="0"/>
          <w:color w:val="111111"/>
          <w:sz w:val="21"/>
        </w:rPr>
        <w:t>Two searches, one combined ranking.</w:t>
      </w:r>
    </w:p>
    <w:p>
      <w:pPr>
        <w:spacing w:before="0" w:after="100"/>
        <w:ind w:left="0"/>
      </w:pPr>
      <w:r>
        <w:rPr>
          <w:rFonts w:ascii="Arial" w:hAnsi="Arial"/>
          <w:b/>
          <w:color w:val="111111"/>
          <w:sz w:val="21"/>
        </w:rPr>
        <w:t xml:space="preserve">Guarantee each company a share. </w:t>
      </w:r>
      <w:r>
        <w:rPr>
          <w:rFonts w:ascii="Arial" w:hAnsi="Arial"/>
          <w:b w:val="0"/>
          <w:color w:val="111111"/>
          <w:sz w:val="21"/>
        </w:rPr>
        <w:t>On a multi-company question, every named company gets its own budget of passages. Without this, one company's more vivid language crowds the others out — measured before the rule existed, a three-company question returned fifteen passages for one company and one for another.</w:t>
      </w:r>
    </w:p>
    <w:p>
      <w:pPr>
        <w:spacing w:before="0" w:after="100"/>
        <w:ind w:left="0"/>
      </w:pPr>
      <w:r>
        <w:rPr>
          <w:rFonts w:ascii="Arial" w:hAnsi="Arial"/>
          <w:b/>
          <w:color w:val="111111"/>
          <w:sz w:val="21"/>
        </w:rPr>
        <w:t xml:space="preserve">Remove near-duplicates. </w:t>
      </w:r>
      <w:r>
        <w:rPr>
          <w:rFonts w:ascii="Arial" w:hAnsi="Arial"/>
          <w:b w:val="0"/>
          <w:color w:val="111111"/>
          <w:sz w:val="21"/>
        </w:rPr>
        <w:t>Filings repeat language quarter to quarter. Twenty restatements of one risk is a worse input than one statement of twenty risks.</w:t>
      </w:r>
    </w:p>
    <w:p>
      <w:pPr>
        <w:spacing w:before="0" w:after="100"/>
        <w:ind w:left="0"/>
      </w:pPr>
      <w:r>
        <w:rPr>
          <w:rFonts w:ascii="Arial" w:hAnsi="Arial"/>
          <w:b/>
          <w:color w:val="111111"/>
          <w:sz w:val="21"/>
        </w:rPr>
        <w:t xml:space="preserve">Re-rank the finalists. </w:t>
      </w:r>
      <w:r>
        <w:rPr>
          <w:rFonts w:ascii="Arial" w:hAnsi="Arial"/>
          <w:b w:val="0"/>
          <w:color w:val="111111"/>
          <w:sz w:val="21"/>
        </w:rPr>
        <w:t>A second, more careful model reads the question and each candidate passage together and re-orders them. It runs locally, adds no per-question cost, and is the largest single quality gain in the pipeline.</w:t>
      </w:r>
    </w:p>
    <w:p>
      <w:pPr>
        <w:spacing w:before="0" w:after="100"/>
        <w:ind w:left="0"/>
      </w:pPr>
      <w:r>
        <w:rPr>
          <w:rFonts w:ascii="Arial" w:hAnsi="Arial"/>
          <w:b/>
          <w:color w:val="111111"/>
          <w:sz w:val="21"/>
        </w:rPr>
        <w:t xml:space="preserve">Assemble and answer. </w:t>
      </w:r>
      <w:r>
        <w:rPr>
          <w:rFonts w:ascii="Arial" w:hAnsi="Arial"/>
          <w:b w:val="0"/>
          <w:color w:val="111111"/>
          <w:sz w:val="21"/>
        </w:rPr>
        <w:t>The surviving passages, each labelled with its source, plus a computed statement of what the evidence base actually is — then one model call produces the answer.</w:t>
      </w:r>
    </w:p>
    <w:p>
      <w:pPr>
        <w:spacing w:before="160" w:after="160"/>
      </w:pPr>
      <w:r>
        <w:rPr>
          <w:rFonts w:ascii="Arial" w:hAnsi="Arial"/>
          <w:b w:val="0"/>
          <w:i w:val="0"/>
          <w:color w:val="111111"/>
          <w:sz w:val="21"/>
        </w:rPr>
        <w:t>The code for all of the above is included in the repository, organised so that each step is a separate, testable module rather than one pipeline function.</w:t>
      </w:r>
    </w:p>
    <w:p>
      <w:r>
        <w:br w:type="page"/>
      </w:r>
    </w:p>
    <w:p>
      <w:pPr>
        <w:spacing w:before="400" w:after="120"/>
        <w:pBdr>
          <w:bottom w:val="single" w:sz="6" w:space="4" w:color="D8D8D8"/>
        </w:pBdr>
      </w:pPr>
      <w:r>
        <w:rPr>
          <w:rFonts w:ascii="Arial" w:hAnsi="Arial"/>
          <w:b/>
          <w:i w:val="0"/>
          <w:color w:val="111111"/>
          <w:sz w:val="30"/>
        </w:rPr>
        <w:t>The value: three wrong answers that no longer happen</w:t>
      </w:r>
    </w:p>
    <w:p>
      <w:pPr>
        <w:spacing w:before="0" w:after="200"/>
      </w:pPr>
      <w:r>
        <w:rPr>
          <w:rFonts w:ascii="Arial" w:hAnsi="Arial"/>
          <w:b w:val="0"/>
          <w:i w:val="0"/>
          <w:color w:val="111111"/>
          <w:sz w:val="21"/>
        </w:rPr>
        <w:t>Each of these is an answer an analyst would have acted on, and each is prevented by a specific mechanism rather than by the model being careful.</w:t>
      </w:r>
    </w:p>
    <w:tbl>
      <w:tblPr>
        <w:tblStyle w:val="TableGrid"/>
        <w:tblW w:type="auto" w:w="0"/>
        <w:jc w:val="left"/>
        <w:tblLook w:firstColumn="1" w:firstRow="1" w:lastColumn="0" w:lastRow="0" w:noHBand="0" w:noVBand="1" w:val="04A0"/>
      </w:tblPr>
      <w:tblGrid>
        <w:gridCol w:w="3120"/>
        <w:gridCol w:w="3120"/>
        <w:gridCol w:w="3120"/>
      </w:tblGrid>
      <w:tr>
        <w:tc>
          <w:tcPr>
            <w:tcW w:type="dxa" w:w="2736"/>
            <w:shd w:val="clear" w:fill="F2F2F2"/>
          </w:tcPr>
          <w:p>
            <w:r/>
            <w:r>
              <w:rPr>
                <w:rFonts w:ascii="Arial" w:hAnsi="Arial"/>
                <w:b/>
                <w:color w:val="111111"/>
                <w:sz w:val="18"/>
              </w:rPr>
              <w:t>The wrong answer</w:t>
            </w:r>
          </w:p>
        </w:tc>
        <w:tc>
          <w:tcPr>
            <w:tcW w:type="dxa" w:w="3456"/>
            <w:shd w:val="clear" w:fill="F2F2F2"/>
          </w:tcPr>
          <w:p>
            <w:r/>
            <w:r>
              <w:rPr>
                <w:rFonts w:ascii="Arial" w:hAnsi="Arial"/>
                <w:b/>
                <w:color w:val="111111"/>
                <w:sz w:val="18"/>
              </w:rPr>
              <w:t>Why it happened</w:t>
            </w:r>
          </w:p>
        </w:tc>
        <w:tc>
          <w:tcPr>
            <w:tcW w:type="dxa" w:w="3168"/>
            <w:shd w:val="clear" w:fill="F2F2F2"/>
          </w:tcPr>
          <w:p>
            <w:r/>
            <w:r>
              <w:rPr>
                <w:rFonts w:ascii="Arial" w:hAnsi="Arial"/>
                <w:b/>
                <w:color w:val="111111"/>
                <w:sz w:val="18"/>
              </w:rPr>
              <w:t>What prevents it</w:t>
            </w:r>
          </w:p>
        </w:tc>
      </w:tr>
      <w:tr>
        <w:tc>
          <w:tcPr>
            <w:tcW w:type="dxa" w:w="2736"/>
          </w:tcPr>
          <w:p>
            <w:pPr>
              <w:spacing w:after="40"/>
            </w:pPr>
            <w:r/>
            <w:r>
              <w:rPr>
                <w:rFonts w:ascii="Arial" w:hAnsi="Arial"/>
                <w:color w:val="111111"/>
                <w:sz w:val="18"/>
              </w:rPr>
              <w:t>A figure quoted at the wrong order of magnitude</w:t>
            </w:r>
          </w:p>
        </w:tc>
        <w:tc>
          <w:tcPr>
            <w:tcW w:type="dxa" w:w="3456"/>
          </w:tcPr>
          <w:p>
            <w:pPr>
              <w:spacing w:after="40"/>
            </w:pPr>
            <w:r/>
            <w:r>
              <w:rPr>
                <w:rFonts w:ascii="Arial" w:hAnsi="Arial"/>
                <w:color w:val="111111"/>
                <w:sz w:val="18"/>
              </w:rPr>
              <w:t>In these filings the “in millions” caption sits outside the table, on the line above it. Split the table anywhere below that and the numbers lose their scale.</w:t>
            </w:r>
          </w:p>
        </w:tc>
        <w:tc>
          <w:tcPr>
            <w:tcW w:type="dxa" w:w="3168"/>
          </w:tcPr>
          <w:p>
            <w:pPr>
              <w:spacing w:after="40"/>
            </w:pPr>
            <w:r/>
            <w:r>
              <w:rPr>
                <w:rFonts w:ascii="Arial" w:hAnsi="Arial"/>
                <w:color w:val="111111"/>
                <w:sz w:val="18"/>
              </w:rPr>
              <w:t>Captions and period headers are bound to every table passage. Affected passages fell from 28% to 4%.</w:t>
            </w:r>
          </w:p>
        </w:tc>
      </w:tr>
      <w:tr>
        <w:tc>
          <w:tcPr>
            <w:tcW w:type="dxa" w:w="2736"/>
          </w:tcPr>
          <w:p>
            <w:pPr>
              <w:spacing w:after="40"/>
            </w:pPr>
            <w:r/>
            <w:r>
              <w:rPr>
                <w:rFonts w:ascii="Arial" w:hAnsi="Arial"/>
                <w:color w:val="111111"/>
                <w:sz w:val="18"/>
              </w:rPr>
              <w:t>A risk profile that is really one quarter's amendment</w:t>
            </w:r>
          </w:p>
        </w:tc>
        <w:tc>
          <w:tcPr>
            <w:tcW w:type="dxa" w:w="3456"/>
          </w:tcPr>
          <w:p>
            <w:pPr>
              <w:spacing w:after="40"/>
            </w:pPr>
            <w:r/>
            <w:r>
              <w:rPr>
                <w:rFonts w:ascii="Arial" w:hAnsi="Arial"/>
                <w:color w:val="111111"/>
                <w:sz w:val="18"/>
              </w:rPr>
              <w:t>A quarterly filing reports only what changed. Read alone, it looks like a complete picture.</w:t>
            </w:r>
          </w:p>
        </w:tc>
        <w:tc>
          <w:tcPr>
            <w:tcW w:type="dxa" w:w="3168"/>
          </w:tcPr>
          <w:p>
            <w:pPr>
              <w:spacing w:after="40"/>
            </w:pPr>
            <w:r/>
            <w:r>
              <w:rPr>
                <w:rFonts w:ascii="Arial" w:hAnsi="Arial"/>
                <w:color w:val="111111"/>
                <w:sz w:val="18"/>
              </w:rPr>
              <w:t>The annual baseline is retrieved alongside it, and quarterly passages are labelled as amendments.</w:t>
            </w:r>
          </w:p>
        </w:tc>
      </w:tr>
      <w:tr>
        <w:tc>
          <w:tcPr>
            <w:tcW w:type="dxa" w:w="2736"/>
          </w:tcPr>
          <w:p>
            <w:pPr>
              <w:spacing w:after="40"/>
            </w:pPr>
            <w:r/>
            <w:r>
              <w:rPr>
                <w:rFonts w:ascii="Arial" w:hAnsi="Arial"/>
                <w:color w:val="111111"/>
                <w:sz w:val="18"/>
              </w:rPr>
              <w:t>An industry conclusion resting on two companies</w:t>
            </w:r>
          </w:p>
        </w:tc>
        <w:tc>
          <w:tcPr>
            <w:tcW w:type="dxa" w:w="3456"/>
          </w:tcPr>
          <w:p>
            <w:pPr>
              <w:spacing w:after="40"/>
            </w:pPr>
            <w:r/>
            <w:r>
              <w:rPr>
                <w:rFonts w:ascii="Arial" w:hAnsi="Arial"/>
                <w:color w:val="111111"/>
                <w:sz w:val="18"/>
              </w:rPr>
              <w:t>Four of six pharmaceutical companies in this corpus have a single filing each.</w:t>
            </w:r>
          </w:p>
        </w:tc>
        <w:tc>
          <w:tcPr>
            <w:tcW w:type="dxa" w:w="3168"/>
          </w:tcPr>
          <w:p>
            <w:pPr>
              <w:spacing w:after="40"/>
            </w:pPr>
            <w:r/>
            <w:r>
              <w:rPr>
                <w:rFonts w:ascii="Arial" w:hAnsi="Arial"/>
                <w:color w:val="111111"/>
                <w:sz w:val="18"/>
              </w:rPr>
              <w:t>Every answer states its evidence base in distinct filings, per company.</w:t>
            </w:r>
          </w:p>
        </w:tc>
      </w:tr>
    </w:tbl>
    <w:p>
      <w:pPr>
        <w:spacing w:after="80"/>
      </w:pPr>
    </w:p>
    <w:p>
      <w:pPr>
        <w:spacing w:before="120" w:after="160"/>
      </w:pPr>
      <w:r>
        <w:rPr>
          <w:rFonts w:ascii="Arial" w:hAnsi="Arial"/>
          <w:b/>
          <w:color w:val="111111"/>
          <w:sz w:val="21"/>
        </w:rPr>
        <w:t xml:space="preserve">What this is worth. </w:t>
      </w:r>
      <w:r>
        <w:rPr>
          <w:rFonts w:ascii="Arial" w:hAnsi="Arial"/>
          <w:b w:val="0"/>
          <w:color w:val="111111"/>
          <w:sz w:val="21"/>
        </w:rPr>
        <w:t>None of this makes an analyst faster at reading one filing. It makes 246 filings searchable with an audit trail — and it makes the system's limits visible, which is what determines whether the output can be relied on in a deal context.</w:t>
      </w:r>
    </w:p>
    <w:p>
      <w:pPr>
        <w:spacing w:before="400" w:after="120"/>
        <w:pBdr>
          <w:bottom w:val="single" w:sz="6" w:space="4" w:color="D8D8D8"/>
        </w:pBdr>
      </w:pPr>
      <w:r>
        <w:rPr>
          <w:rFonts w:ascii="Arial" w:hAnsi="Arial"/>
          <w:b/>
          <w:i w:val="0"/>
          <w:color w:val="111111"/>
          <w:sz w:val="30"/>
        </w:rPr>
        <w:t>Built on measurement, not assumption</w:t>
      </w:r>
    </w:p>
    <w:p>
      <w:pPr>
        <w:spacing w:before="0" w:after="200"/>
      </w:pPr>
      <w:r>
        <w:rPr>
          <w:rFonts w:ascii="Arial" w:hAnsi="Arial"/>
          <w:b w:val="0"/>
          <w:i w:val="0"/>
          <w:color w:val="111111"/>
          <w:sz w:val="21"/>
        </w:rPr>
        <w:t>Every significant design decision here was driven by measuring this corpus first. A few of the findings that changed the build:</w:t>
      </w:r>
    </w:p>
    <w:tbl>
      <w:tblPr>
        <w:tblStyle w:val="TableGrid"/>
        <w:tblW w:type="auto" w:w="0"/>
        <w:jc w:val="left"/>
        <w:tblLook w:firstColumn="1" w:firstRow="1" w:lastColumn="0" w:lastRow="0" w:noHBand="0" w:noVBand="1" w:val="04A0"/>
      </w:tblPr>
      <w:tblGrid>
        <w:gridCol w:w="4680"/>
        <w:gridCol w:w="4680"/>
      </w:tblGrid>
      <w:tr>
        <w:tc>
          <w:tcPr>
            <w:tcW w:type="dxa" w:w="4464"/>
            <w:shd w:val="clear" w:fill="F2F2F2"/>
          </w:tcPr>
          <w:p>
            <w:r/>
            <w:r>
              <w:rPr>
                <w:rFonts w:ascii="Arial" w:hAnsi="Arial"/>
                <w:b/>
                <w:color w:val="111111"/>
                <w:sz w:val="18"/>
              </w:rPr>
              <w:t>What we found</w:t>
            </w:r>
          </w:p>
        </w:tc>
        <w:tc>
          <w:tcPr>
            <w:tcW w:type="dxa" w:w="4896"/>
            <w:shd w:val="clear" w:fill="F2F2F2"/>
          </w:tcPr>
          <w:p>
            <w:r/>
            <w:r>
              <w:rPr>
                <w:rFonts w:ascii="Arial" w:hAnsi="Arial"/>
                <w:b/>
                <w:color w:val="111111"/>
                <w:sz w:val="18"/>
              </w:rPr>
              <w:t>What it changed</w:t>
            </w:r>
          </w:p>
        </w:tc>
      </w:tr>
      <w:tr>
        <w:tc>
          <w:tcPr>
            <w:tcW w:type="dxa" w:w="4464"/>
          </w:tcPr>
          <w:p>
            <w:pPr>
              <w:spacing w:after="40"/>
            </w:pPr>
            <w:r/>
            <w:r>
              <w:rPr>
                <w:rFonts w:ascii="Arial" w:hAnsi="Arial"/>
                <w:color w:val="111111"/>
                <w:sz w:val="18"/>
              </w:rPr>
              <w:t>17.7% of the corpus text was machine-readable tagging residue, not disclosure</w:t>
            </w:r>
          </w:p>
        </w:tc>
        <w:tc>
          <w:tcPr>
            <w:tcW w:type="dxa" w:w="4896"/>
          </w:tcPr>
          <w:p>
            <w:pPr>
              <w:spacing w:after="40"/>
            </w:pPr>
            <w:r/>
            <w:r>
              <w:rPr>
                <w:rFonts w:ascii="Arial" w:hAnsi="Arial"/>
                <w:color w:val="111111"/>
                <w:sz w:val="18"/>
              </w:rPr>
              <w:t>Removed before indexing. Left in, it would have polluted search results with thousands of near-identical fragments.</w:t>
            </w:r>
          </w:p>
        </w:tc>
      </w:tr>
      <w:tr>
        <w:tc>
          <w:tcPr>
            <w:tcW w:type="dxa" w:w="4464"/>
          </w:tcPr>
          <w:p>
            <w:pPr>
              <w:spacing w:after="40"/>
            </w:pPr>
            <w:r/>
            <w:r>
              <w:rPr>
                <w:rFonts w:ascii="Arial" w:hAnsi="Arial"/>
                <w:color w:val="111111"/>
                <w:sz w:val="18"/>
              </w:rPr>
              <w:t>40.5% of passages never name their own company</w:t>
            </w:r>
          </w:p>
        </w:tc>
        <w:tc>
          <w:tcPr>
            <w:tcW w:type="dxa" w:w="4896"/>
          </w:tcPr>
          <w:p>
            <w:pPr>
              <w:spacing w:after="40"/>
            </w:pPr>
            <w:r/>
            <w:r>
              <w:rPr>
                <w:rFonts w:ascii="Arial" w:hAnsi="Arial"/>
                <w:color w:val="111111"/>
                <w:sz w:val="18"/>
              </w:rPr>
              <w:t>Company, period and section are attached to every passage, because similarity search alone cannot attribute them.</w:t>
            </w:r>
          </w:p>
        </w:tc>
      </w:tr>
      <w:tr>
        <w:tc>
          <w:tcPr>
            <w:tcW w:type="dxa" w:w="4464"/>
          </w:tcPr>
          <w:p>
            <w:pPr>
              <w:spacing w:after="40"/>
            </w:pPr>
            <w:r/>
            <w:r>
              <w:rPr>
                <w:rFonts w:ascii="Arial" w:hAnsi="Arial"/>
                <w:color w:val="111111"/>
                <w:sz w:val="18"/>
              </w:rPr>
              <w:t>The source text has no paragraph structure at all — one filing's risk section arrives as a single 90,000-character line</w:t>
            </w:r>
          </w:p>
        </w:tc>
        <w:tc>
          <w:tcPr>
            <w:tcW w:type="dxa" w:w="4896"/>
          </w:tcPr>
          <w:p>
            <w:pPr>
              <w:spacing w:after="40"/>
            </w:pPr>
            <w:r/>
            <w:r>
              <w:rPr>
                <w:rFonts w:ascii="Arial" w:hAnsi="Arial"/>
                <w:color w:val="111111"/>
                <w:sz w:val="18"/>
              </w:rPr>
              <w:t>Block boundaries are reconstructed. Passages spanning two different report sections went to zero.</w:t>
            </w:r>
          </w:p>
        </w:tc>
      </w:tr>
      <w:tr>
        <w:tc>
          <w:tcPr>
            <w:tcW w:type="dxa" w:w="4464"/>
          </w:tcPr>
          <w:p>
            <w:pPr>
              <w:spacing w:after="40"/>
            </w:pPr>
            <w:r/>
            <w:r>
              <w:rPr>
                <w:rFonts w:ascii="Arial" w:hAnsi="Arial"/>
                <w:color w:val="111111"/>
                <w:sz w:val="18"/>
              </w:rPr>
              <w:t>37 of 246 filings were dated to the wrong year</w:t>
            </w:r>
          </w:p>
        </w:tc>
        <w:tc>
          <w:tcPr>
            <w:tcW w:type="dxa" w:w="4896"/>
          </w:tcPr>
          <w:p>
            <w:pPr>
              <w:spacing w:after="40"/>
            </w:pPr>
            <w:r/>
            <w:r>
              <w:rPr>
                <w:rFonts w:ascii="Arial" w:hAnsi="Arial"/>
                <w:color w:val="111111"/>
                <w:sz w:val="18"/>
              </w:rPr>
              <w:t>One corrected derivation. It had also been skewing every “last two years” style question.</w:t>
            </w:r>
          </w:p>
        </w:tc>
      </w:tr>
      <w:tr>
        <w:tc>
          <w:tcPr>
            <w:tcW w:type="dxa" w:w="4464"/>
          </w:tcPr>
          <w:p>
            <w:pPr>
              <w:spacing w:after="40"/>
            </w:pPr>
            <w:r/>
            <w:r>
              <w:rPr>
                <w:rFonts w:ascii="Arial" w:hAnsi="Arial"/>
                <w:color w:val="111111"/>
                <w:sz w:val="18"/>
              </w:rPr>
              <w:t>18 of 54 companies do not end their financial year in December</w:t>
            </w:r>
          </w:p>
        </w:tc>
        <w:tc>
          <w:tcPr>
            <w:tcW w:type="dxa" w:w="4896"/>
          </w:tcPr>
          <w:p>
            <w:pPr>
              <w:spacing w:after="40"/>
            </w:pPr>
            <w:r/>
            <w:r>
              <w:rPr>
                <w:rFonts w:ascii="Arial" w:hAnsi="Arial"/>
                <w:color w:val="111111"/>
                <w:sz w:val="18"/>
              </w:rPr>
              <w:t>Citations show the period a filing covers, rather than a fiscal-year label that can contradict the passage beneath it.</w:t>
            </w:r>
          </w:p>
        </w:tc>
      </w:tr>
    </w:tbl>
    <w:p>
      <w:pPr>
        <w:spacing w:after="80"/>
      </w:pPr>
    </w:p>
    <w:p>
      <w:pPr>
        <w:spacing w:before="120" w:after="160"/>
      </w:pPr>
      <w:r>
        <w:rPr>
          <w:rFonts w:ascii="Arial" w:hAnsi="Arial"/>
          <w:b/>
          <w:color w:val="111111"/>
          <w:sz w:val="21"/>
        </w:rPr>
        <w:t xml:space="preserve">How quality is measured. </w:t>
      </w:r>
      <w:r>
        <w:rPr>
          <w:rFonts w:ascii="Arial" w:hAnsi="Arial"/>
          <w:b w:val="0"/>
          <w:color w:val="111111"/>
          <w:sz w:val="21"/>
        </w:rPr>
        <w:t xml:space="preserve">The system ships with an automated test suite of 266 checks and a retrieval evaluation harness, viewable in the application itself. We also document why three commonly-quoted retrieval metrics are </w:t>
      </w:r>
      <w:r>
        <w:rPr>
          <w:rFonts w:ascii="Arial" w:hAnsi="Arial"/>
          <w:b/>
          <w:color w:val="111111"/>
          <w:sz w:val="21"/>
        </w:rPr>
        <w:t>not</w:t>
      </w:r>
      <w:r>
        <w:rPr>
          <w:rFonts w:ascii="Arial" w:hAnsi="Arial"/>
          <w:b w:val="0"/>
          <w:color w:val="111111"/>
          <w:sz w:val="21"/>
        </w:rPr>
        <w:t xml:space="preserve"> reliable on a corpus like this — knowing why a number misleads is more useful than the number.</w:t>
      </w:r>
    </w:p>
    <w:p>
      <w:r>
        <w:br w:type="page"/>
      </w:r>
    </w:p>
    <w:p>
      <w:pPr>
        <w:spacing w:before="400" w:after="120"/>
        <w:pBdr>
          <w:bottom w:val="single" w:sz="6" w:space="4" w:color="D8D8D8"/>
        </w:pBdr>
      </w:pPr>
      <w:r>
        <w:rPr>
          <w:rFonts w:ascii="Arial" w:hAnsi="Arial"/>
          <w:b/>
          <w:i w:val="0"/>
          <w:color w:val="111111"/>
          <w:sz w:val="30"/>
        </w:rPr>
        <w:t>Where this goes next</w:t>
      </w:r>
    </w:p>
    <w:p>
      <w:pPr>
        <w:spacing w:before="280" w:after="80"/>
      </w:pPr>
      <w:r>
        <w:rPr>
          <w:rFonts w:ascii="Arial" w:hAnsi="Arial"/>
          <w:b/>
          <w:i w:val="0"/>
          <w:color w:val="111111"/>
          <w:sz w:val="23"/>
        </w:rPr>
        <w:t>Nearest-term, highest value</w:t>
      </w:r>
    </w:p>
    <w:p>
      <w:pPr>
        <w:pStyle w:val="ListBullet"/>
        <w:spacing w:after="80"/>
        <w:ind w:left="403"/>
      </w:pPr>
      <w:r>
        <w:rPr>
          <w:rFonts w:ascii="Arial" w:hAnsi="Arial"/>
          <w:b w:val="0"/>
          <w:color w:val="111111"/>
          <w:sz w:val="21"/>
        </w:rPr>
        <w:t>Citations that link straight into the filing. Each passage already carries its source document and section, and each filing carries its public SEC URL — so a citation becomes a link an analyst can click through to the original text.</w:t>
      </w:r>
    </w:p>
    <w:p>
      <w:pPr>
        <w:pStyle w:val="ListBullet"/>
        <w:spacing w:after="80"/>
        <w:ind w:left="403"/>
      </w:pPr>
      <w:r>
        <w:rPr>
          <w:rFonts w:ascii="Arial" w:hAnsi="Arial"/>
          <w:b w:val="0"/>
          <w:color w:val="111111"/>
          <w:sz w:val="21"/>
        </w:rPr>
        <w:t>A screen to manage the corpus. Add companies and date ranges and have those filings pulled in, rather than working from a fixed set.</w:t>
      </w:r>
    </w:p>
    <w:p>
      <w:pPr>
        <w:pStyle w:val="ListBullet"/>
        <w:spacing w:after="80"/>
        <w:ind w:left="403"/>
      </w:pPr>
      <w:r>
        <w:rPr>
          <w:rFonts w:ascii="Arial" w:hAnsi="Arial"/>
          <w:b w:val="0"/>
          <w:color w:val="111111"/>
          <w:sz w:val="21"/>
        </w:rPr>
        <w:t>Evaluation driven by real questions. Logging the questions analysts actually ask produces far better test data than anything written in advance.</w:t>
      </w:r>
    </w:p>
    <w:p>
      <w:pPr>
        <w:pStyle w:val="ListBullet"/>
        <w:spacing w:after="80"/>
        <w:ind w:left="403"/>
      </w:pPr>
      <w:r>
        <w:rPr>
          <w:rFonts w:ascii="Arial" w:hAnsi="Arial"/>
          <w:b w:val="0"/>
          <w:color w:val="111111"/>
          <w:sz w:val="21"/>
        </w:rPr>
        <w:t>Streamed answers, for a faster-feeling interface. The current single response is deliberate — it lets citations arrive with the text — so this needs designing alongside, not bolting on.</w:t>
      </w:r>
    </w:p>
    <w:p>
      <w:pPr>
        <w:spacing w:before="280" w:after="80"/>
      </w:pPr>
      <w:r>
        <w:rPr>
          <w:rFonts w:ascii="Arial" w:hAnsi="Arial"/>
          <w:b/>
          <w:i w:val="0"/>
          <w:color w:val="111111"/>
          <w:sz w:val="23"/>
        </w:rPr>
        <w:t>Further out</w:t>
      </w:r>
    </w:p>
    <w:p>
      <w:pPr>
        <w:pStyle w:val="ListBullet"/>
        <w:spacing w:after="80"/>
        <w:ind w:left="403"/>
      </w:pPr>
      <w:r>
        <w:rPr>
          <w:rFonts w:ascii="Arial" w:hAnsi="Arial"/>
          <w:b w:val="0"/>
          <w:color w:val="111111"/>
          <w:sz w:val="21"/>
        </w:rPr>
        <w:t>Route numeric questions to the SEC's own structured financial data, so figures come from a filed data point rather than from reading a table.</w:t>
      </w:r>
    </w:p>
    <w:p>
      <w:pPr>
        <w:pStyle w:val="ListBullet"/>
        <w:spacing w:after="80"/>
        <w:ind w:left="403"/>
      </w:pPr>
      <w:r>
        <w:rPr>
          <w:rFonts w:ascii="Arial" w:hAnsi="Arial"/>
          <w:b w:val="0"/>
          <w:color w:val="111111"/>
          <w:sz w:val="21"/>
        </w:rPr>
        <w:t>A larger evaluation set with section-level judgements, which is what makes before-and-after comparisons statistically meaningful rather than directional.</w:t>
      </w:r>
    </w:p>
    <w:p>
      <w:pPr>
        <w:pStyle w:val="ListBullet"/>
        <w:spacing w:after="80"/>
        <w:ind w:left="403"/>
      </w:pPr>
      <w:r>
        <w:rPr>
          <w:rFonts w:ascii="Arial" w:hAnsi="Arial"/>
          <w:b w:val="0"/>
          <w:color w:val="111111"/>
          <w:sz w:val="21"/>
        </w:rPr>
        <w:t>Self-hosted search models. The filings are public, but the questions asked of them encode a firm's areas of interest — that is the part worth keeping in-house.</w:t>
      </w:r>
    </w:p>
    <w:p>
      <w:pPr>
        <w:pStyle w:val="ListBullet"/>
        <w:spacing w:after="80"/>
        <w:ind w:left="403"/>
      </w:pPr>
      <w:r>
        <w:rPr>
          <w:rFonts w:ascii="Arial" w:hAnsi="Arial"/>
          <w:b w:val="0"/>
          <w:color w:val="111111"/>
          <w:sz w:val="21"/>
        </w:rPr>
        <w:t>Multi-tenancy, so several teams can work against the same corpus with separate entitlements. This is cheapest to design in early.</w:t>
      </w:r>
    </w:p>
    <w:p>
      <w:pPr>
        <w:spacing w:before="280" w:after="80"/>
      </w:pPr>
      <w:r>
        <w:rPr>
          <w:rFonts w:ascii="Arial" w:hAnsi="Arial"/>
          <w:b/>
          <w:i w:val="0"/>
          <w:color w:val="111111"/>
          <w:sz w:val="23"/>
        </w:rPr>
        <w:t>On rebuilding the index</w:t>
      </w:r>
    </w:p>
    <w:p>
      <w:pPr>
        <w:spacing w:before="0" w:after="160"/>
      </w:pPr>
      <w:r>
        <w:rPr>
          <w:rFonts w:ascii="Arial" w:hAnsi="Arial"/>
          <w:b w:val="0"/>
          <w:i w:val="0"/>
          <w:color w:val="111111"/>
          <w:sz w:val="21"/>
        </w:rPr>
        <w:t>A question worth answering plainly, because the honest answer is more useful than a reassuring one. Adding new filters, display fields or permissions needs no rebuild. Changing how documents are divided or which search model is used does require one — and on a corpus this size that is a background job measured in minutes and cents, not a project. The architecture is built to make rebuilding cheap rather than to avoid it.</w:t>
      </w:r>
    </w:p>
    <w:p>
      <w:pPr>
        <w:spacing w:before="400" w:after="120"/>
        <w:pBdr>
          <w:bottom w:val="single" w:sz="6" w:space="4" w:color="D8D8D8"/>
        </w:pBdr>
      </w:pPr>
      <w:r>
        <w:rPr>
          <w:rFonts w:ascii="Arial" w:hAnsi="Arial"/>
          <w:b/>
          <w:i w:val="0"/>
          <w:color w:val="111111"/>
          <w:sz w:val="30"/>
        </w:rPr>
        <w:t>What it does not do today</w:t>
      </w:r>
    </w:p>
    <w:p>
      <w:pPr>
        <w:spacing w:before="0" w:after="160"/>
      </w:pPr>
      <w:r>
        <w:rPr>
          <w:rFonts w:ascii="Arial" w:hAnsi="Arial"/>
          <w:b w:val="0"/>
          <w:i w:val="0"/>
          <w:color w:val="111111"/>
          <w:sz w:val="21"/>
        </w:rPr>
        <w:t>Stated here so none of it is a surprise later.</w:t>
      </w:r>
    </w:p>
    <w:p>
      <w:pPr>
        <w:pStyle w:val="ListBullet"/>
        <w:spacing w:after="80"/>
        <w:ind w:left="403"/>
      </w:pPr>
      <w:r>
        <w:rPr>
          <w:rFonts w:ascii="Arial" w:hAnsi="Arial"/>
          <w:b w:val="0"/>
          <w:color w:val="111111"/>
          <w:sz w:val="21"/>
        </w:rPr>
        <w:t>15 of 246 filings do not label their sections in a machine-readable way. Their text is still fully searchable; only the section label is missing.</w:t>
      </w:r>
    </w:p>
    <w:p>
      <w:pPr>
        <w:pStyle w:val="ListBullet"/>
        <w:spacing w:after="80"/>
        <w:ind w:left="403"/>
      </w:pPr>
      <w:r>
        <w:rPr>
          <w:rFonts w:ascii="Arial" w:hAnsi="Arial"/>
          <w:b w:val="0"/>
          <w:color w:val="111111"/>
          <w:sz w:val="21"/>
        </w:rPr>
        <w:t>Numeric answers are read from tables in the filings rather than from structured financial data. Figures keep their scale and period, but the structured route would be more precise.</w:t>
      </w:r>
    </w:p>
    <w:p>
      <w:pPr>
        <w:pStyle w:val="ListBullet"/>
        <w:spacing w:after="80"/>
        <w:ind w:left="403"/>
      </w:pPr>
      <w:r>
        <w:rPr>
          <w:rFonts w:ascii="Arial" w:hAnsi="Arial"/>
          <w:b w:val="0"/>
          <w:color w:val="111111"/>
          <w:sz w:val="21"/>
        </w:rPr>
        <w:t>The evaluation set is 22 scored questions — enough to catch regressions, not enough to prove small improvements. Results are reported as directional.</w:t>
      </w:r>
    </w:p>
    <w:p>
      <w:pPr>
        <w:pStyle w:val="ListBullet"/>
        <w:spacing w:after="80"/>
        <w:ind w:left="403"/>
      </w:pPr>
      <w:r>
        <w:rPr>
          <w:rFonts w:ascii="Arial" w:hAnsi="Arial"/>
          <w:b w:val="0"/>
          <w:color w:val="111111"/>
          <w:sz w:val="21"/>
        </w:rPr>
        <w:t>For an industry-level question, the system reports the companies it used but cannot tell you which companies it should also have consulted. That needs sector classification, which this corpus does not carry.</w:t>
      </w:r>
    </w:p>
    <w:p>
      <w:pPr>
        <w:pStyle w:val="ListBullet"/>
        <w:spacing w:after="80"/>
        <w:ind w:left="403"/>
      </w:pPr>
      <w:r>
        <w:rPr>
          <w:rFonts w:ascii="Arial" w:hAnsi="Arial"/>
          <w:b w:val="0"/>
          <w:color w:val="111111"/>
          <w:sz w:val="21"/>
        </w:rPr>
        <w:t>The corpus is a fixed snapshot. Relative dates are anchored to the newest filing in it, so “the last two years” stays meaningful as the snapshot ages.</w:t>
      </w:r>
    </w:p>
    <w:p>
      <w:pPr>
        <w:spacing w:before="400" w:after="120"/>
        <w:pBdr>
          <w:bottom w:val="single" w:sz="6" w:space="4" w:color="D8D8D8"/>
        </w:pBdr>
      </w:pPr>
      <w:r>
        <w:rPr>
          <w:rFonts w:ascii="Arial" w:hAnsi="Arial"/>
          <w:b/>
          <w:i w:val="0"/>
          <w:color w:val="111111"/>
          <w:sz w:val="30"/>
        </w:rPr>
        <w:t>Running it yourself</w:t>
      </w:r>
    </w:p>
    <w:p>
      <w:pPr>
        <w:spacing w:before="0" w:after="120"/>
      </w:pPr>
      <w:r>
        <w:rPr>
          <w:rFonts w:ascii="Arial" w:hAnsi="Arial"/>
          <w:b w:val="0"/>
          <w:i w:val="0"/>
          <w:color w:val="111111"/>
          <w:sz w:val="21"/>
        </w:rPr>
        <w:t>The repository is self-contained. Start the search service, build the index once, then run the application:</w:t>
      </w:r>
    </w:p>
    <w:p>
      <w:pPr>
        <w:spacing w:before="0" w:after="40"/>
        <w:ind w:left="403"/>
      </w:pPr>
      <w:r>
        <w:rPr>
          <w:rFonts w:ascii="Consolas" w:hAnsi="Consolas"/>
          <w:b w:val="0"/>
          <w:i w:val="0"/>
          <w:color w:val="111111"/>
          <w:sz w:val="19"/>
        </w:rPr>
        <w:t>make up</w:t>
      </w:r>
    </w:p>
    <w:p>
      <w:pPr>
        <w:spacing w:before="0" w:after="40"/>
        <w:ind w:left="403"/>
      </w:pPr>
      <w:r>
        <w:rPr>
          <w:rFonts w:ascii="Consolas" w:hAnsi="Consolas"/>
          <w:b w:val="0"/>
          <w:i w:val="0"/>
          <w:color w:val="111111"/>
          <w:sz w:val="19"/>
        </w:rPr>
        <w:t>make index</w:t>
      </w:r>
    </w:p>
    <w:p>
      <w:pPr>
        <w:spacing w:before="0" w:after="40"/>
        <w:ind w:left="403"/>
      </w:pPr>
      <w:r>
        <w:rPr>
          <w:rFonts w:ascii="Consolas" w:hAnsi="Consolas"/>
          <w:b w:val="0"/>
          <w:i w:val="0"/>
          <w:color w:val="111111"/>
          <w:sz w:val="19"/>
        </w:rPr>
        <w:t>make answers</w:t>
      </w:r>
    </w:p>
    <w:p>
      <w:pPr>
        <w:spacing w:before="0" w:after="40"/>
        <w:ind w:left="403"/>
      </w:pPr>
      <w:r>
        <w:rPr>
          <w:rFonts w:ascii="Consolas" w:hAnsi="Consolas"/>
          <w:b w:val="0"/>
          <w:i w:val="0"/>
          <w:color w:val="111111"/>
          <w:sz w:val="19"/>
        </w:rPr>
        <w:t>cd frontend &amp;&amp; bun run dev</w:t>
      </w:r>
    </w:p>
    <w:p>
      <w:pPr>
        <w:spacing w:before="160" w:after="160"/>
      </w:pPr>
      <w:r>
        <w:rPr>
          <w:rFonts w:ascii="Arial" w:hAnsi="Arial"/>
          <w:b w:val="0"/>
          <w:i w:val="0"/>
          <w:color w:val="111111"/>
          <w:sz w:val="21"/>
        </w:rPr>
        <w:t>A single ready-to-run example request is included, along with the full design record: the evaluation notes, the prompt-iteration history, and a decision-by-decision log with the measurement behind each choice.</w:t>
      </w:r>
    </w:p>
    <w:p>
      <w:pPr>
        <w:spacing w:before="0" w:after="360"/>
      </w:pPr>
    </w:p>
    <w:p>
      <w:pPr>
        <w:spacing w:before="0" w:after="20"/>
      </w:pPr>
      <w:r>
        <w:rPr>
          <w:rFonts w:ascii="Arial" w:hAnsi="Arial"/>
          <w:b/>
          <w:i w:val="0"/>
          <w:color w:val="666666"/>
          <w:sz w:val="18"/>
        </w:rPr>
        <w:t>Jordan Taylor · Forward Deployed Engineer · eliza</w:t>
      </w:r>
    </w:p>
    <w:p>
      <w:pPr>
        <w:spacing w:before="0" w:after="160"/>
      </w:pPr>
      <w:r>
        <w:rPr>
          <w:rFonts w:ascii="Arial" w:hAnsi="Arial"/>
          <w:b w:val="0"/>
          <w:i/>
          <w:color w:val="666666"/>
          <w:sz w:val="17"/>
        </w:rPr>
        <w:t>Prepared as a leave-behind following the demonstration. Figures in this document were generated from the running system.</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eliza  ·  SEC Filings Research Assistant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93" w:lineRule="auto"/>
    </w:pPr>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 Filings Research Assistant</dc:title>
  <dc:subject/>
  <dc:creator>Jordan Taylor, Forward Deployed Engineer</dc:creator>
  <cp:keywords/>
  <dc:description>Client leave-behind. Generated by docs/leave_behind.py</dc:description>
  <cp:lastModifiedBy/>
  <cp:revision>1</cp:revision>
  <dcterms:created xsi:type="dcterms:W3CDTF">2013-12-23T23:15:00Z</dcterms:created>
  <dcterms:modified xsi:type="dcterms:W3CDTF">2013-12-23T23:15:00Z</dcterms:modified>
  <cp:category>eliza</cp:category>
</cp:coreProperties>
</file>