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tl/>
        </w:rPr>
        <w:t xml:space="preserve">تقرير المبيعات الربعي</w:t>
      </w:r>
    </w:p>
    <w:p>
      <w:pPr>
        <w:bidi/>
      </w:pPr>
      <w:r>
        <w:rPr>
          <w:rtl/>
        </w:rPr>
        <w:t xml:space="preserve">بلغت مبيعات شركة النخيل في الربع الثالث 4,250,000 ريال، بزيادة 18% عن الربع الثاني.</w:t>
      </w:r>
    </w:p>
    <w:p>
      <w:pPr>
        <w:bidi/>
      </w:pPr>
      <w:r>
        <w:rPr>
          <w:rtl/>
        </w:rPr>
        <w:t xml:space="preserve">أفضل منتج مبيعاً: القهوة العربية المختصة.</w:t>
      </w:r>
    </w:p>
  </w:body>
</w:document>
</file>