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E021"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b/>
          <w:bCs/>
          <w:kern w:val="0"/>
          <w14:ligatures w14:val="none"/>
        </w:rPr>
        <w:t>Project Background:</w:t>
      </w:r>
      <w:r w:rsidRPr="000C67C2">
        <w:rPr>
          <w:rFonts w:ascii="Times New Roman" w:eastAsia="Times New Roman" w:hAnsi="Times New Roman" w:cs="Times New Roman"/>
          <w:kern w:val="0"/>
          <w14:ligatures w14:val="none"/>
        </w:rPr>
        <w:t> </w:t>
      </w:r>
    </w:p>
    <w:p w14:paraId="058E1A13"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 xml:space="preserve">Determining the economic impact of hosting an event can be a major undertaking. Companies that offer such services generally charge between twenty and thirty thousand dollars to perform an economic impact assessment, EIA. While this may be within reach for large-scale events such as Taylor Swift concerts, the FIFA Cup, or the Olympics, it is often well out of reach for smaller events like local marathons and golf tournaments. Fortunately, the data used for this type of analysis is government-provided and publicly available. This provides an opportunity for new companies to </w:t>
      </w:r>
      <w:proofErr w:type="gramStart"/>
      <w:r w:rsidRPr="000C67C2">
        <w:rPr>
          <w:rFonts w:ascii="Times New Roman" w:eastAsia="Times New Roman" w:hAnsi="Times New Roman" w:cs="Times New Roman"/>
          <w:kern w:val="0"/>
          <w14:ligatures w14:val="none"/>
        </w:rPr>
        <w:t>enter into</w:t>
      </w:r>
      <w:proofErr w:type="gramEnd"/>
      <w:r w:rsidRPr="000C67C2">
        <w:rPr>
          <w:rFonts w:ascii="Times New Roman" w:eastAsia="Times New Roman" w:hAnsi="Times New Roman" w:cs="Times New Roman"/>
          <w:kern w:val="0"/>
          <w14:ligatures w14:val="none"/>
        </w:rPr>
        <w:t xml:space="preserve"> the realm of EIA.</w:t>
      </w:r>
    </w:p>
    <w:p w14:paraId="378AF457"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 xml:space="preserve">Traditionally, most EIA reports have leaned heavily into expert knowledge, leveraging economists as subject matter experts in the development of economic pattern recognition. Our company uses the well-established practices put forth by SME </w:t>
      </w:r>
      <w:proofErr w:type="gramStart"/>
      <w:r w:rsidRPr="000C67C2">
        <w:rPr>
          <w:rFonts w:ascii="Times New Roman" w:eastAsia="Times New Roman" w:hAnsi="Times New Roman" w:cs="Times New Roman"/>
          <w:kern w:val="0"/>
          <w14:ligatures w14:val="none"/>
        </w:rPr>
        <w:t>economists, but</w:t>
      </w:r>
      <w:proofErr w:type="gramEnd"/>
      <w:r w:rsidRPr="000C67C2">
        <w:rPr>
          <w:rFonts w:ascii="Times New Roman" w:eastAsia="Times New Roman" w:hAnsi="Times New Roman" w:cs="Times New Roman"/>
          <w:kern w:val="0"/>
          <w14:ligatures w14:val="none"/>
        </w:rPr>
        <w:t xml:space="preserve"> leaves much of the calculations in the hands of modern machine learning algorithms. A company looking to contract with us could view this problem as a regression problem, whereby they are hoping to find out a reasonable figure they can expect to see as return on their investment into an event, or as a simple binary classification problem that tells them whether or not their investment will make more money than was required to host the event. This project will focus on private industry and will therefore treat the problem as a regression problem with the objective of predicting the direct, indirect, and induced impacts to a local economy given the size, type, and location of the event in question.</w:t>
      </w:r>
    </w:p>
    <w:p w14:paraId="68CC723D"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b/>
          <w:bCs/>
          <w:kern w:val="0"/>
          <w14:ligatures w14:val="none"/>
        </w:rPr>
        <w:t>Technical Background: </w:t>
      </w:r>
    </w:p>
    <w:p w14:paraId="064776B0"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There are three types of impacts that need to be determined when calculating the economic impact of an event: direct, indirect, and induced.  The direct impact is the value of inputs purchased to put on the event.  This could be tents, tables, and barricades for a small-scale event, or land and infrastructure for a large-scale event, with a nearly infinite spectrum in between.  The indirect impact is driven by businesses’ increased purchases of products that serve as inputs for the event.  An example would be a local pizza parlor that increases its weekly materials supply to feed the surge of people in town for the event.  Lastly, induced impact is the value of goods and services purchased by all workers whose earnings are affected by the final-demand change created by the event.  The simplest example would be a construction worker who has steady, long-term work available because she is employed as part of the new stadium’s construction, who purchases a new vehicle because her newfound employment paradigm makes her feel financially stable enough to afford such a purchase.</w:t>
      </w:r>
    </w:p>
    <w:p w14:paraId="7EA10052"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 xml:space="preserve">The complexity of this analysis is reflected in the cost of such a task.  Further, an EIA done by n number of companies will result in n different results.  This means that there is no objective truth that can be used for traditional model metrics such as mean absolute error.  Perhaps the most sensible approach would be to create a distribution of all n estimates and compare the model’s results to the distribution, disqualifying the model’s results if they are outside of a particular percentile threshold.  However, this approach would require more reports than is feasible to retrieve.  Therefore, the evaluation of the model will need to be a long-term evaluation whereby the prediction is measured against the measured results as recorded by tax data produced in the local areas affected by the event.  Model accuracy will be monitored by calculating accuracy </w:t>
      </w:r>
      <w:r w:rsidRPr="000C67C2">
        <w:rPr>
          <w:rFonts w:ascii="Times New Roman" w:eastAsia="Times New Roman" w:hAnsi="Times New Roman" w:cs="Times New Roman"/>
          <w:kern w:val="0"/>
          <w14:ligatures w14:val="none"/>
        </w:rPr>
        <w:lastRenderedPageBreak/>
        <w:t>each time new data becomes available.  Because the business objective is to offer reasonably accurate EIA at a reduced cost, model accuracy and business use cases are one and the same.</w:t>
      </w:r>
    </w:p>
    <w:p w14:paraId="01964773"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This project will need to combine data from a few different sources.  While there may be additional data required, the minimum requirements are Employment and wage data from the US Bureau of Labor Statistics and tax data from the Census of Government, the Annual Survey of State and Local Government Finances, and the Annual Survey of State Government Tax Collections.  The tax data will need to be aggregated to get a clear picture of local taxes so that it can be used to determine the amount of money movement through an area.  With this information in hand, evaluation can proceed by comparing model predictions with real-world spending.  The data will need to be separated by industry and explored through traditional data analysis techniques, looking for outliers, missing data, and determining the type of data distribution for the data.  It is expected that the most important features will be the industry/event type, the size in terms of the expected number of attendees, and the location of the event.  While there are a variety of regression models to choose from, Bayesian regression will likely be the most suitable given the complexity of the problem and the delay in the availability of measured data for model evaluation.  With Bayesian regression, the model will output a range of plausible values, giving stakeholders better insights into the potential impact of their event.</w:t>
      </w:r>
    </w:p>
    <w:p w14:paraId="7D3FAB6A" w14:textId="77777777" w:rsidR="000C67C2" w:rsidRPr="000C67C2" w:rsidRDefault="000C67C2" w:rsidP="000C67C2">
      <w:p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b/>
          <w:bCs/>
          <w:kern w:val="0"/>
          <w14:ligatures w14:val="none"/>
        </w:rPr>
        <w:t xml:space="preserve">Goals vs </w:t>
      </w:r>
      <w:proofErr w:type="gramStart"/>
      <w:r w:rsidRPr="000C67C2">
        <w:rPr>
          <w:rFonts w:ascii="Times New Roman" w:eastAsia="Times New Roman" w:hAnsi="Times New Roman" w:cs="Times New Roman"/>
          <w:b/>
          <w:bCs/>
          <w:kern w:val="0"/>
          <w14:ligatures w14:val="none"/>
        </w:rPr>
        <w:t>Non-Goals</w:t>
      </w:r>
      <w:proofErr w:type="gramEnd"/>
      <w:r w:rsidRPr="000C67C2">
        <w:rPr>
          <w:rFonts w:ascii="Times New Roman" w:eastAsia="Times New Roman" w:hAnsi="Times New Roman" w:cs="Times New Roman"/>
          <w:b/>
          <w:bCs/>
          <w:kern w:val="0"/>
          <w14:ligatures w14:val="none"/>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72"/>
        <w:gridCol w:w="4672"/>
      </w:tblGrid>
      <w:tr w:rsidR="000C67C2" w:rsidRPr="000C67C2" w14:paraId="16364ACF" w14:textId="77777777">
        <w:tc>
          <w:tcPr>
            <w:tcW w:w="2498" w:type="pct"/>
            <w:tcBorders>
              <w:top w:val="outset" w:sz="6" w:space="0" w:color="auto"/>
              <w:left w:val="outset" w:sz="6" w:space="0" w:color="auto"/>
              <w:bottom w:val="outset" w:sz="6" w:space="0" w:color="auto"/>
              <w:right w:val="outset" w:sz="6" w:space="0" w:color="auto"/>
            </w:tcBorders>
            <w:vAlign w:val="center"/>
            <w:hideMark/>
          </w:tcPr>
          <w:p w14:paraId="0E9FFAE5" w14:textId="77777777" w:rsidR="000C67C2" w:rsidRPr="000C67C2" w:rsidRDefault="000C67C2" w:rsidP="000C67C2">
            <w:pPr>
              <w:spacing w:after="0" w:line="240" w:lineRule="auto"/>
              <w:jc w:val="center"/>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Goals</w:t>
            </w:r>
          </w:p>
        </w:tc>
        <w:tc>
          <w:tcPr>
            <w:tcW w:w="2498" w:type="pct"/>
            <w:tcBorders>
              <w:top w:val="outset" w:sz="6" w:space="0" w:color="auto"/>
              <w:left w:val="outset" w:sz="6" w:space="0" w:color="auto"/>
              <w:bottom w:val="outset" w:sz="6" w:space="0" w:color="auto"/>
              <w:right w:val="outset" w:sz="6" w:space="0" w:color="auto"/>
            </w:tcBorders>
            <w:vAlign w:val="center"/>
            <w:hideMark/>
          </w:tcPr>
          <w:p w14:paraId="2A68EC19" w14:textId="77777777" w:rsidR="000C67C2" w:rsidRPr="000C67C2" w:rsidRDefault="000C67C2" w:rsidP="000C67C2">
            <w:pPr>
              <w:spacing w:after="0" w:line="240" w:lineRule="auto"/>
              <w:jc w:val="center"/>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Non-Goals</w:t>
            </w:r>
          </w:p>
        </w:tc>
      </w:tr>
      <w:tr w:rsidR="000C67C2" w:rsidRPr="000C67C2" w14:paraId="7F9433E0" w14:textId="77777777">
        <w:tc>
          <w:tcPr>
            <w:tcW w:w="2498" w:type="pct"/>
            <w:tcBorders>
              <w:top w:val="outset" w:sz="6" w:space="0" w:color="auto"/>
              <w:left w:val="outset" w:sz="6" w:space="0" w:color="auto"/>
              <w:bottom w:val="outset" w:sz="6" w:space="0" w:color="auto"/>
              <w:right w:val="outset" w:sz="6" w:space="0" w:color="auto"/>
            </w:tcBorders>
            <w:vAlign w:val="center"/>
            <w:hideMark/>
          </w:tcPr>
          <w:p w14:paraId="3BE0A4DE" w14:textId="77777777" w:rsidR="000C67C2" w:rsidRPr="000C67C2" w:rsidRDefault="000C67C2" w:rsidP="000C67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Predict Economic impact for local event</w:t>
            </w:r>
          </w:p>
          <w:p w14:paraId="34219EEF" w14:textId="77777777" w:rsidR="000C67C2" w:rsidRPr="000C67C2" w:rsidRDefault="000C67C2" w:rsidP="000C67C2">
            <w:pPr>
              <w:spacing w:after="0"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        ◦ Predict direct impact of event</w:t>
            </w:r>
            <w:r w:rsidRPr="000C67C2">
              <w:rPr>
                <w:rFonts w:ascii="Times New Roman" w:eastAsia="Times New Roman" w:hAnsi="Times New Roman" w:cs="Times New Roman"/>
                <w:kern w:val="0"/>
                <w14:ligatures w14:val="none"/>
              </w:rPr>
              <w:br/>
              <w:t>        ◦ Predict indirect impact of event</w:t>
            </w:r>
            <w:r w:rsidRPr="000C67C2">
              <w:rPr>
                <w:rFonts w:ascii="Times New Roman" w:eastAsia="Times New Roman" w:hAnsi="Times New Roman" w:cs="Times New Roman"/>
                <w:kern w:val="0"/>
                <w14:ligatures w14:val="none"/>
              </w:rPr>
              <w:br/>
              <w:t>        ◦ Predict induced impact of event</w:t>
            </w:r>
          </w:p>
          <w:p w14:paraId="08DAF8D7" w14:textId="77777777" w:rsidR="000C67C2" w:rsidRPr="000C67C2" w:rsidRDefault="000C67C2" w:rsidP="000C6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Aggregate predictions into single value</w:t>
            </w:r>
          </w:p>
          <w:p w14:paraId="5389048E" w14:textId="77777777" w:rsidR="000C67C2" w:rsidRPr="000C67C2" w:rsidRDefault="000C67C2" w:rsidP="000C6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 Be profitable at $500 per EIA</w:t>
            </w:r>
          </w:p>
        </w:tc>
        <w:tc>
          <w:tcPr>
            <w:tcW w:w="2498" w:type="pct"/>
            <w:tcBorders>
              <w:top w:val="outset" w:sz="6" w:space="0" w:color="auto"/>
              <w:left w:val="outset" w:sz="6" w:space="0" w:color="auto"/>
              <w:bottom w:val="outset" w:sz="6" w:space="0" w:color="auto"/>
              <w:right w:val="outset" w:sz="6" w:space="0" w:color="auto"/>
            </w:tcBorders>
            <w:vAlign w:val="center"/>
            <w:hideMark/>
          </w:tcPr>
          <w:p w14:paraId="4A809B1F" w14:textId="77777777" w:rsidR="000C67C2" w:rsidRPr="000C67C2" w:rsidRDefault="000C67C2" w:rsidP="000C6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 Predict financial impact</w:t>
            </w:r>
          </w:p>
          <w:p w14:paraId="42CBBE71" w14:textId="77777777" w:rsidR="000C67C2" w:rsidRPr="000C67C2" w:rsidRDefault="000C67C2" w:rsidP="000C6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Predict Macroeconomic Multipliers</w:t>
            </w:r>
          </w:p>
          <w:p w14:paraId="1D55C826" w14:textId="77777777" w:rsidR="000C67C2" w:rsidRPr="000C67C2" w:rsidRDefault="000C67C2" w:rsidP="000C6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Generalize to larger non-local areas</w:t>
            </w:r>
          </w:p>
          <w:p w14:paraId="7EEC1E23" w14:textId="77777777" w:rsidR="000C67C2" w:rsidRPr="000C67C2" w:rsidRDefault="000C67C2" w:rsidP="000C6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Provide detailed descriptions of impact breakdowns</w:t>
            </w:r>
          </w:p>
          <w:p w14:paraId="434D17BB" w14:textId="77777777" w:rsidR="000C67C2" w:rsidRPr="000C67C2" w:rsidRDefault="000C67C2" w:rsidP="000C6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67C2">
              <w:rPr>
                <w:rFonts w:ascii="Times New Roman" w:eastAsia="Times New Roman" w:hAnsi="Times New Roman" w:cs="Times New Roman"/>
                <w:kern w:val="0"/>
                <w14:ligatures w14:val="none"/>
              </w:rPr>
              <w:t>Create full-blown EIA reports</w:t>
            </w:r>
          </w:p>
        </w:tc>
      </w:tr>
    </w:tbl>
    <w:p w14:paraId="59E63B3D" w14:textId="77777777" w:rsidR="006B0461" w:rsidRDefault="006B0461"/>
    <w:sectPr w:rsidR="006B0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A2F09"/>
    <w:multiLevelType w:val="multilevel"/>
    <w:tmpl w:val="38D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F04699"/>
    <w:multiLevelType w:val="multilevel"/>
    <w:tmpl w:val="1EEC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AB5851"/>
    <w:multiLevelType w:val="multilevel"/>
    <w:tmpl w:val="E066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83204">
    <w:abstractNumId w:val="1"/>
  </w:num>
  <w:num w:numId="2" w16cid:durableId="1825851037">
    <w:abstractNumId w:val="2"/>
  </w:num>
  <w:num w:numId="3" w16cid:durableId="1986620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C2"/>
    <w:rsid w:val="000C67C2"/>
    <w:rsid w:val="002C67D2"/>
    <w:rsid w:val="006B0461"/>
    <w:rsid w:val="008A08F7"/>
    <w:rsid w:val="00B061F5"/>
    <w:rsid w:val="00ED3D67"/>
    <w:rsid w:val="00F307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D7B8981"/>
  <w15:chartTrackingRefBased/>
  <w15:docId w15:val="{DB403B04-79FF-714F-B460-4F67BB1B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7C2"/>
    <w:rPr>
      <w:rFonts w:eastAsiaTheme="majorEastAsia" w:cstheme="majorBidi"/>
      <w:color w:val="272727" w:themeColor="text1" w:themeTint="D8"/>
    </w:rPr>
  </w:style>
  <w:style w:type="paragraph" w:styleId="Title">
    <w:name w:val="Title"/>
    <w:basedOn w:val="Normal"/>
    <w:next w:val="Normal"/>
    <w:link w:val="TitleChar"/>
    <w:uiPriority w:val="10"/>
    <w:qFormat/>
    <w:rsid w:val="000C6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7C2"/>
    <w:pPr>
      <w:spacing w:before="160"/>
      <w:jc w:val="center"/>
    </w:pPr>
    <w:rPr>
      <w:i/>
      <w:iCs/>
      <w:color w:val="404040" w:themeColor="text1" w:themeTint="BF"/>
    </w:rPr>
  </w:style>
  <w:style w:type="character" w:customStyle="1" w:styleId="QuoteChar">
    <w:name w:val="Quote Char"/>
    <w:basedOn w:val="DefaultParagraphFont"/>
    <w:link w:val="Quote"/>
    <w:uiPriority w:val="29"/>
    <w:rsid w:val="000C67C2"/>
    <w:rPr>
      <w:i/>
      <w:iCs/>
      <w:color w:val="404040" w:themeColor="text1" w:themeTint="BF"/>
    </w:rPr>
  </w:style>
  <w:style w:type="paragraph" w:styleId="ListParagraph">
    <w:name w:val="List Paragraph"/>
    <w:basedOn w:val="Normal"/>
    <w:uiPriority w:val="34"/>
    <w:qFormat/>
    <w:rsid w:val="000C67C2"/>
    <w:pPr>
      <w:ind w:left="720"/>
      <w:contextualSpacing/>
    </w:pPr>
  </w:style>
  <w:style w:type="character" w:styleId="IntenseEmphasis">
    <w:name w:val="Intense Emphasis"/>
    <w:basedOn w:val="DefaultParagraphFont"/>
    <w:uiPriority w:val="21"/>
    <w:qFormat/>
    <w:rsid w:val="000C67C2"/>
    <w:rPr>
      <w:i/>
      <w:iCs/>
      <w:color w:val="0F4761" w:themeColor="accent1" w:themeShade="BF"/>
    </w:rPr>
  </w:style>
  <w:style w:type="paragraph" w:styleId="IntenseQuote">
    <w:name w:val="Intense Quote"/>
    <w:basedOn w:val="Normal"/>
    <w:next w:val="Normal"/>
    <w:link w:val="IntenseQuoteChar"/>
    <w:uiPriority w:val="30"/>
    <w:qFormat/>
    <w:rsid w:val="000C6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7C2"/>
    <w:rPr>
      <w:i/>
      <w:iCs/>
      <w:color w:val="0F4761" w:themeColor="accent1" w:themeShade="BF"/>
    </w:rPr>
  </w:style>
  <w:style w:type="character" w:styleId="IntenseReference">
    <w:name w:val="Intense Reference"/>
    <w:basedOn w:val="DefaultParagraphFont"/>
    <w:uiPriority w:val="32"/>
    <w:qFormat/>
    <w:rsid w:val="000C67C2"/>
    <w:rPr>
      <w:b/>
      <w:bCs/>
      <w:smallCaps/>
      <w:color w:val="0F4761" w:themeColor="accent1" w:themeShade="BF"/>
      <w:spacing w:val="5"/>
    </w:rPr>
  </w:style>
  <w:style w:type="paragraph" w:styleId="NormalWeb">
    <w:name w:val="Normal (Web)"/>
    <w:basedOn w:val="Normal"/>
    <w:uiPriority w:val="99"/>
    <w:semiHidden/>
    <w:unhideWhenUsed/>
    <w:rsid w:val="000C67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67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Farmer</dc:creator>
  <cp:keywords/>
  <dc:description/>
  <cp:lastModifiedBy>Steve Farmer</cp:lastModifiedBy>
  <cp:revision>1</cp:revision>
  <dcterms:created xsi:type="dcterms:W3CDTF">2026-05-05T20:09:00Z</dcterms:created>
  <dcterms:modified xsi:type="dcterms:W3CDTF">2026-05-05T20:09:00Z</dcterms:modified>
</cp:coreProperties>
</file>