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4.0 -->
  <w:body>
    <w:p w:rsidR="00A77B3E">
      <w:bookmarkStart w:id="0" w:name="TOC_PLACEHOLDER"/>
      <w:bookmarkEnd w:id="0"/>
    </w:p>
    <w:p>
      <w:pPr>
        <w:jc w:val="center"/>
      </w:pPr>
      <w:r w:rsidR="00A77B3E">
        <w:rPr>
          <w:rFonts w:ascii="Calibri" w:eastAsia="Calibri" w:hAnsi="Calibri" w:cs="Calibri"/>
          <w:b/>
          <w:sz w:val="36"/>
        </w:rPr>
        <w:t>Independent reanalysis of a single-cell transcriptomic atlas of the cocaine-exposed Drosophila brain</w:t>
      </w:r>
    </w:p>
    <w:p>
      <w:pPr>
        <w:jc w:val="center"/>
      </w:pPr>
    </w:p>
    <w:p>
      <w:pPr>
        <w:jc w:val="center"/>
      </w:pPr>
      <w:r>
        <w:rPr>
          <w:rFonts w:ascii="Calibri" w:eastAsia="Calibri" w:hAnsi="Calibri" w:cs="Calibri"/>
          <w:i/>
          <w:sz w:val="24"/>
        </w:rPr>
        <w:t>A reproduction and verification study of Baker et al. (2021), GEO: GSE152495</w:t>
      </w:r>
    </w:p>
    <w:p>
      <w:pPr>
        <w:jc w:val="center"/>
      </w:pPr>
    </w:p>
    <w:p>
      <w:pPr>
        <w:jc w:val="center"/>
      </w:pPr>
      <w:r>
        <w:rPr>
          <w:rFonts w:ascii="Calibri" w:eastAsia="Calibri" w:hAnsi="Calibri" w:cs="Calibri"/>
          <w:b/>
          <w:sz w:val="24"/>
        </w:rPr>
        <w:t>Mahabubur Rahman</w:t>
      </w:r>
    </w:p>
    <w:p>
      <w:pPr>
        <w:jc w:val="center"/>
      </w:pPr>
    </w:p>
    <w:p>
      <w:pPr>
        <w:jc w:val="center"/>
      </w:pPr>
      <w:r>
        <w:rPr>
          <w:rFonts w:ascii="Calibri" w:eastAsia="Calibri" w:hAnsi="Calibri" w:cs="Calibri"/>
          <w:sz w:val="21"/>
        </w:rPr>
        <w:t>Student Project 2 — single-cell RNA-seq analysis</w:t>
      </w:r>
    </w:p>
    <w:p>
      <w:pPr>
        <w:jc w:val="center"/>
      </w:pPr>
    </w:p>
    <w:p>
      <w:pPr>
        <w:jc w:val="center"/>
      </w:pPr>
      <w:r>
        <w:rPr>
          <w:rFonts w:ascii="Calibri" w:eastAsia="Calibri" w:hAnsi="Calibri" w:cs="Calibri"/>
          <w:sz w:val="21"/>
        </w:rPr>
        <w:t>2026-09-15</w:t>
      </w:r>
    </w:p>
    <w:p>
      <w:pPr>
        <w:jc w:val="center"/>
      </w:pPr>
    </w:p>
    <w:p>
      <w:pPr>
        <w:pStyle w:val="Heading1"/>
        <w:jc w:val="center"/>
      </w:pPr>
      <w:r>
        <w:rPr>
          <w:rFonts w:ascii="Calibri" w:eastAsia="Calibri" w:hAnsi="Calibri" w:cs="Calibri"/>
          <w:b/>
          <w:color w:val="1F3864"/>
          <w:sz w:val="30"/>
        </w:rPr>
        <w:t>Contents</w:t>
      </w:r>
    </w:p>
    <w:p/>
    <w:p>
      <w:r>
        <w:rPr>
          <w:rFonts w:ascii="Calibri" w:eastAsia="Calibri" w:hAnsi="Calibri" w:cs="Calibri"/>
          <w:i/>
          <w:sz w:val="18"/>
        </w:rPr>
        <w:t>(Right-click and choose "Update Field" in Word to populate.)</w:t>
      </w:r>
    </w:p>
    <w:p/>
    <w:p>
      <w:pPr>
        <w:pStyle w:val="Heading1"/>
      </w:pPr>
      <w:r>
        <w:rPr>
          <w:rFonts w:ascii="Calibri" w:eastAsia="Calibri" w:hAnsi="Calibri" w:cs="Calibri"/>
          <w:b/>
          <w:color w:val="1F3864"/>
          <w:sz w:val="30"/>
        </w:rPr>
        <w:t>Abstract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 xml:space="preserve">Acute cocaine consumption alters gene expression across the </w:t>
      </w:r>
      <w:r>
        <w:rPr>
          <w:rFonts w:ascii="Calibri" w:eastAsia="Calibri" w:hAnsi="Calibri" w:cs="Calibri"/>
          <w:i/>
          <w:sz w:val="21"/>
        </w:rPr>
        <w:t>Drosophila melanogaster</w:t>
      </w:r>
      <w:r>
        <w:rPr>
          <w:rFonts w:ascii="Calibri" w:eastAsia="Calibri" w:hAnsi="Calibri" w:cs="Calibri"/>
          <w:sz w:val="21"/>
        </w:rPr>
        <w:t xml:space="preserve"> brain in a manner </w:t>
      </w:r>
      <w:r>
        <w:rPr>
          <w:rFonts w:ascii="Calibri" w:eastAsia="Calibri" w:hAnsi="Calibri" w:cs="Calibri"/>
          <w:sz w:val="21"/>
        </w:rPr>
        <w:t>that is</w:t>
      </w:r>
      <w:r>
        <w:rPr>
          <w:rFonts w:ascii="Calibri" w:eastAsia="Calibri" w:hAnsi="Calibri" w:cs="Calibri"/>
          <w:sz w:val="21"/>
        </w:rPr>
        <w:t xml:space="preserve"> cell-type specific and profoundly sexually dimorphic (Baker et al.</w:t>
      </w:r>
      <w:r>
        <w:rPr>
          <w:rFonts w:ascii="Calibri" w:eastAsia="Calibri" w:hAnsi="Calibri" w:cs="Calibri"/>
          <w:sz w:val="21"/>
        </w:rPr>
        <w:t xml:space="preserve"> 2021). We reanalysed the underlying single-cell data (GEO: GSE152495; eight samples in a 2 × 2 × 2 design of sex × treatment × biological replicate) using an independent Scanpy-based pipeline and subjected the differential expression results to explicit statistical controls that were not applied in the original report.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 xml:space="preserve">Quality filtering retained 86,177 cells, within 0.05% of the 86,224 </w:t>
      </w:r>
      <w:r>
        <w:rPr>
          <w:rFonts w:ascii="Calibri" w:eastAsia="Calibri" w:hAnsi="Calibri" w:cs="Calibri"/>
          <w:sz w:val="21"/>
        </w:rPr>
        <w:t xml:space="preserve">cells </w:t>
      </w:r>
      <w:r>
        <w:rPr>
          <w:rFonts w:ascii="Calibri" w:eastAsia="Calibri" w:hAnsi="Calibri" w:cs="Calibri"/>
          <w:sz w:val="21"/>
        </w:rPr>
        <w:t>reported.</w:t>
      </w:r>
      <w:r>
        <w:rPr>
          <w:rFonts w:ascii="Calibri" w:eastAsia="Calibri" w:hAnsi="Calibri" w:cs="Calibri"/>
          <w:sz w:val="21"/>
        </w:rPr>
        <w:t xml:space="preserve"> Leiden clustering at the published resolution of 0.8 yielded 30 clusters rather than 36; a resolution sweep reached 36 clusters at approximately 1.33, and the reported plateau in </w:t>
      </w:r>
      <w:r>
        <w:rPr>
          <w:rFonts w:ascii="Calibri" w:eastAsia="Calibri" w:hAnsi="Calibri" w:cs="Calibri"/>
          <w:sz w:val="21"/>
        </w:rPr>
        <w:t xml:space="preserve">the </w:t>
      </w:r>
      <w:r>
        <w:rPr>
          <w:rFonts w:ascii="Calibri" w:eastAsia="Calibri" w:hAnsi="Calibri" w:cs="Calibri"/>
          <w:sz w:val="21"/>
        </w:rPr>
        <w:t xml:space="preserve">cluster number at </w:t>
      </w:r>
      <w:r>
        <w:rPr>
          <w:rFonts w:ascii="Calibri" w:eastAsia="Calibri" w:hAnsi="Calibri" w:cs="Calibri"/>
          <w:sz w:val="21"/>
        </w:rPr>
        <w:t xml:space="preserve">a </w:t>
      </w:r>
      <w:r>
        <w:rPr>
          <w:rFonts w:ascii="Calibri" w:eastAsia="Calibri" w:hAnsi="Calibri" w:cs="Calibri"/>
          <w:sz w:val="21"/>
        </w:rPr>
        <w:t xml:space="preserve">resolution </w:t>
      </w:r>
      <w:r>
        <w:rPr>
          <w:rFonts w:ascii="Calibri" w:eastAsia="Calibri" w:hAnsi="Calibri" w:cs="Calibri"/>
          <w:sz w:val="21"/>
        </w:rPr>
        <w:t xml:space="preserve">of </w:t>
      </w:r>
      <w:r>
        <w:rPr>
          <w:rFonts w:ascii="Calibri" w:eastAsia="Calibri" w:hAnsi="Calibri" w:cs="Calibri"/>
          <w:sz w:val="21"/>
        </w:rPr>
        <w:t>0.8 was not observed.</w:t>
      </w:r>
      <w:r>
        <w:rPr>
          <w:rFonts w:ascii="Calibri" w:eastAsia="Calibri" w:hAnsi="Calibri" w:cs="Calibri"/>
          <w:sz w:val="21"/>
        </w:rPr>
        <w:t xml:space="preserve"> Twenty-four clusters were assigned cell-type identities using two independent marker panels, including populations corresponding to the Kenyon cells, surface glia, and unannotated antennal/optic lobe </w:t>
      </w:r>
      <w:r>
        <w:rPr>
          <w:rFonts w:ascii="Calibri" w:eastAsia="Calibri" w:hAnsi="Calibri" w:cs="Calibri"/>
          <w:sz w:val="21"/>
        </w:rPr>
        <w:t>clusters</w:t>
      </w:r>
      <w:r>
        <w:rPr>
          <w:rFonts w:ascii="Calibri" w:eastAsia="Calibri" w:hAnsi="Calibri" w:cs="Calibri"/>
          <w:sz w:val="21"/>
        </w:rPr>
        <w:t>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 xml:space="preserve">The reported male bias in transcriptional response </w:t>
      </w:r>
      <w:r>
        <w:rPr>
          <w:rFonts w:ascii="Calibri" w:eastAsia="Calibri" w:hAnsi="Calibri" w:cs="Calibri"/>
          <w:sz w:val="21"/>
        </w:rPr>
        <w:t>was reproduced; however,</w:t>
      </w:r>
      <w:r>
        <w:rPr>
          <w:rFonts w:ascii="Calibri" w:eastAsia="Calibri" w:hAnsi="Calibri" w:cs="Calibri"/>
          <w:sz w:val="21"/>
        </w:rPr>
        <w:t xml:space="preserve"> its magnitude </w:t>
      </w:r>
      <w:r>
        <w:rPr>
          <w:rFonts w:ascii="Calibri" w:eastAsia="Calibri" w:hAnsi="Calibri" w:cs="Calibri"/>
          <w:sz w:val="21"/>
        </w:rPr>
        <w:t>was</w:t>
      </w:r>
      <w:r>
        <w:rPr>
          <w:rFonts w:ascii="Calibri" w:eastAsia="Calibri" w:hAnsi="Calibri" w:cs="Calibri"/>
          <w:sz w:val="21"/>
        </w:rPr>
        <w:t xml:space="preserve"> strongly dependent on how it was computed: 6.43-fold with cells pooled within each sex, 1.65-fold summed across clusters, and 0.97-fold counting unique genes (published value 2.15-fold).</w:t>
      </w:r>
      <w:r>
        <w:rPr>
          <w:rFonts w:ascii="Calibri" w:eastAsia="Calibri" w:hAnsi="Calibri" w:cs="Calibri"/>
          <w:sz w:val="21"/>
        </w:rPr>
        <w:t xml:space="preserve"> Excluding mitochondrial, respiratory-chain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and ribosomal transcripts left the pooled ratio unchanged but reduced the cluster-level ratio to 1.13-fold.</w:t>
      </w:r>
      <w:r>
        <w:rPr>
          <w:rFonts w:ascii="Calibri" w:eastAsia="Calibri" w:hAnsi="Calibri" w:cs="Calibri"/>
          <w:sz w:val="21"/>
        </w:rPr>
        <w:t xml:space="preserve"> No gene showed a significant sex × treatment interaction in </w:t>
      </w:r>
      <w:r>
        <w:rPr>
          <w:rFonts w:ascii="Calibri" w:eastAsia="Calibri" w:hAnsi="Calibri" w:cs="Calibri"/>
          <w:sz w:val="21"/>
        </w:rPr>
        <w:t>the</w:t>
      </w:r>
      <w:r>
        <w:rPr>
          <w:rFonts w:ascii="Calibri" w:eastAsia="Calibri" w:hAnsi="Calibri" w:cs="Calibri"/>
          <w:sz w:val="21"/>
        </w:rPr>
        <w:t xml:space="preserve"> pseudobulk model.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>Comparing the treatment contrast against alternative groupings of the same samples revealed an asymmetry not detectable from gene counts alone.</w:t>
      </w:r>
      <w:r>
        <w:rPr>
          <w:rFonts w:ascii="Calibri" w:eastAsia="Calibri" w:hAnsi="Calibri" w:cs="Calibri"/>
          <w:sz w:val="21"/>
        </w:rPr>
        <w:t xml:space="preserve"> In males, the true treatment split yielded 90 differentially expressed genes against 7 and 14 for two null contrasts.</w:t>
      </w:r>
      <w:r>
        <w:rPr>
          <w:rFonts w:ascii="Calibri" w:eastAsia="Calibri" w:hAnsi="Calibri" w:cs="Calibri"/>
          <w:sz w:val="21"/>
        </w:rPr>
        <w:t xml:space="preserve"> In females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it yielded 14 against 39 and 35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fewer genes than any incorrect grouping of the same four samples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with 64% of them also appearing in a null contrast.</w:t>
      </w:r>
      <w:r>
        <w:rPr>
          <w:rFonts w:ascii="Calibri" w:eastAsia="Calibri" w:hAnsi="Calibri" w:cs="Calibri"/>
          <w:sz w:val="21"/>
        </w:rPr>
        <w:t xml:space="preserve"> The replicate axis was the largest source of variation in the female data.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b/>
          <w:sz w:val="21"/>
        </w:rPr>
        <w:t xml:space="preserve">The design-level conclusions of the original study </w:t>
      </w:r>
      <w:r>
        <w:rPr>
          <w:rFonts w:ascii="Calibri" w:eastAsia="Calibri" w:hAnsi="Calibri" w:cs="Calibri"/>
          <w:b/>
          <w:sz w:val="21"/>
        </w:rPr>
        <w:t>have been reproduced</w:t>
      </w:r>
      <w:r>
        <w:rPr>
          <w:rFonts w:ascii="Calibri" w:eastAsia="Calibri" w:hAnsi="Calibri" w:cs="Calibri"/>
          <w:b/>
          <w:sz w:val="21"/>
        </w:rPr>
        <w:t>.</w:t>
      </w:r>
      <w:r>
        <w:rPr>
          <w:rFonts w:ascii="Calibri" w:eastAsia="Calibri" w:hAnsi="Calibri" w:cs="Calibri"/>
          <w:b/>
          <w:sz w:val="21"/>
        </w:rPr>
        <w:t xml:space="preserve"> </w:t>
      </w:r>
      <w:r>
        <w:rPr>
          <w:rFonts w:ascii="Calibri" w:eastAsia="Calibri" w:hAnsi="Calibri" w:cs="Calibri"/>
          <w:b/>
          <w:sz w:val="21"/>
        </w:rPr>
        <w:t>However, the</w:t>
      </w:r>
      <w:r>
        <w:rPr>
          <w:rFonts w:ascii="Calibri" w:eastAsia="Calibri" w:hAnsi="Calibri" w:cs="Calibri"/>
          <w:b/>
          <w:sz w:val="21"/>
        </w:rPr>
        <w:t xml:space="preserve"> female response is not resolvable above </w:t>
      </w:r>
      <w:r>
        <w:rPr>
          <w:rFonts w:ascii="Calibri" w:eastAsia="Calibri" w:hAnsi="Calibri" w:cs="Calibri"/>
          <w:b/>
          <w:sz w:val="21"/>
        </w:rPr>
        <w:t xml:space="preserve">the </w:t>
      </w:r>
      <w:r>
        <w:rPr>
          <w:rFonts w:ascii="Calibri" w:eastAsia="Calibri" w:hAnsi="Calibri" w:cs="Calibri"/>
          <w:b/>
          <w:sz w:val="21"/>
        </w:rPr>
        <w:t>between-sample variation in these data, and the reported sexual dimorphism may substantially reflect a male response detectable above background alongside a female response that is not.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2583607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8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Graphical abstract. </w:t>
      </w:r>
      <w:r>
        <w:rPr>
          <w:rFonts w:ascii="Calibri" w:eastAsia="Calibri" w:hAnsi="Calibri" w:cs="Calibri"/>
          <w:sz w:val="18"/>
        </w:rPr>
        <w:t>The reanalysis pipeline, findings that reproduce, and key control: in males</w:t>
      </w:r>
      <w:r>
        <w:rPr>
          <w:rFonts w:ascii="Calibri" w:eastAsia="Calibri" w:hAnsi="Calibri" w:cs="Calibri"/>
          <w:sz w:val="18"/>
        </w:rPr>
        <w:t>,</w:t>
      </w:r>
      <w:r>
        <w:rPr>
          <w:rFonts w:ascii="Calibri" w:eastAsia="Calibri" w:hAnsi="Calibri" w:cs="Calibri"/>
          <w:sz w:val="18"/>
        </w:rPr>
        <w:t xml:space="preserve"> the treatment effect exceeds both null contrasts; in females</w:t>
      </w:r>
      <w:r>
        <w:rPr>
          <w:rFonts w:ascii="Calibri" w:eastAsia="Calibri" w:hAnsi="Calibri" w:cs="Calibri"/>
          <w:sz w:val="18"/>
        </w:rPr>
        <w:t>,</w:t>
      </w:r>
      <w:r>
        <w:rPr>
          <w:rFonts w:ascii="Calibri" w:eastAsia="Calibri" w:hAnsi="Calibri" w:cs="Calibri"/>
          <w:sz w:val="18"/>
        </w:rPr>
        <w:t xml:space="preserve"> both exceed it.</w:t>
      </w:r>
    </w:p>
    <w:p>
      <w:pPr>
        <w:jc w:val="left"/>
      </w:pPr>
    </w:p>
    <w:p>
      <w:pPr>
        <w:pStyle w:val="Heading1"/>
        <w:jc w:val="left"/>
      </w:pPr>
      <w:r>
        <w:rPr>
          <w:rFonts w:ascii="Calibri" w:eastAsia="Calibri" w:hAnsi="Calibri" w:cs="Calibri"/>
          <w:b/>
          <w:color w:val="1F3864"/>
          <w:sz w:val="30"/>
        </w:rPr>
        <w:t>1. Introduction</w:t>
      </w:r>
    </w:p>
    <w:p/>
    <w:p>
      <w:pPr>
        <w:pStyle w:val="Heading2"/>
      </w:pPr>
      <w:r>
        <w:rPr>
          <w:rFonts w:ascii="Calibri" w:eastAsia="Calibri" w:hAnsi="Calibri" w:cs="Calibri"/>
          <w:b/>
          <w:color w:val="2E5C8A"/>
          <w:sz w:val="24"/>
        </w:rPr>
        <w:t>1.1 Drosophila as a model for psychostimulant response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>Cocaine acts principally by blocking monoamine reuptake.</w:t>
      </w:r>
      <w:r>
        <w:rPr>
          <w:rFonts w:ascii="Calibri" w:eastAsia="Calibri" w:hAnsi="Calibri" w:cs="Calibri"/>
          <w:sz w:val="21"/>
        </w:rPr>
        <w:t xml:space="preserve"> Its molecular targets are conserved </w:t>
      </w:r>
      <w:r>
        <w:rPr>
          <w:rFonts w:ascii="Calibri" w:eastAsia="Calibri" w:hAnsi="Calibri" w:cs="Calibri"/>
          <w:sz w:val="21"/>
        </w:rPr>
        <w:t>in</w:t>
      </w:r>
      <w:r>
        <w:rPr>
          <w:rFonts w:ascii="Calibri" w:eastAsia="Calibri" w:hAnsi="Calibri" w:cs="Calibri"/>
          <w:sz w:val="21"/>
        </w:rPr>
        <w:t xml:space="preserve"> invertebrates: the </w:t>
      </w:r>
      <w:r>
        <w:rPr>
          <w:rFonts w:ascii="Calibri" w:eastAsia="Calibri" w:hAnsi="Calibri" w:cs="Calibri"/>
          <w:i/>
          <w:sz w:val="21"/>
        </w:rPr>
        <w:t>Drosophila</w:t>
      </w:r>
      <w:r>
        <w:rPr>
          <w:rFonts w:ascii="Calibri" w:eastAsia="Calibri" w:hAnsi="Calibri" w:cs="Calibri"/>
          <w:sz w:val="21"/>
        </w:rPr>
        <w:t xml:space="preserve"> dopamine transporter has been crystallised with a binding site that accommodates cocaine (Wang et al.</w:t>
      </w:r>
      <w:r>
        <w:rPr>
          <w:rFonts w:ascii="Calibri" w:eastAsia="Calibri" w:hAnsi="Calibri" w:cs="Calibri"/>
          <w:sz w:val="21"/>
        </w:rPr>
        <w:t xml:space="preserve"> 2015), a cocaine-sensitive serotonin transporter has been cloned and characterised electrophysiologically (Corey et al.</w:t>
      </w:r>
      <w:r>
        <w:rPr>
          <w:rFonts w:ascii="Calibri" w:eastAsia="Calibri" w:hAnsi="Calibri" w:cs="Calibri"/>
          <w:sz w:val="21"/>
        </w:rPr>
        <w:t xml:space="preserve"> 1994), and overexpression of the vesicular monoamine transporter in dopaminergic and serotonergic </w:t>
      </w:r>
      <w:r>
        <w:rPr>
          <w:rFonts w:ascii="Calibri" w:eastAsia="Calibri" w:hAnsi="Calibri" w:cs="Calibri"/>
          <w:sz w:val="21"/>
        </w:rPr>
        <w:t>neurones</w:t>
      </w:r>
      <w:r>
        <w:rPr>
          <w:rFonts w:ascii="Calibri" w:eastAsia="Calibri" w:hAnsi="Calibri" w:cs="Calibri"/>
          <w:sz w:val="21"/>
        </w:rPr>
        <w:t xml:space="preserve"> decreases the behavioural response to the drug (Chang et al.</w:t>
      </w:r>
      <w:r>
        <w:rPr>
          <w:rFonts w:ascii="Calibri" w:eastAsia="Calibri" w:hAnsi="Calibri" w:cs="Calibri"/>
          <w:sz w:val="21"/>
        </w:rPr>
        <w:t xml:space="preserve"> 2006). Approximately 75% of human disease-causing genes have fly </w:t>
      </w:r>
      <w:r>
        <w:rPr>
          <w:rFonts w:ascii="Calibri" w:eastAsia="Calibri" w:hAnsi="Calibri" w:cs="Calibri"/>
          <w:sz w:val="21"/>
        </w:rPr>
        <w:t>orthologues</w:t>
      </w:r>
      <w:r>
        <w:rPr>
          <w:rFonts w:ascii="Calibri" w:eastAsia="Calibri" w:hAnsi="Calibri" w:cs="Calibri"/>
          <w:sz w:val="21"/>
        </w:rPr>
        <w:t xml:space="preserve"> (Pandey and Nichols 2011), and the fly has been argued to be a tractable system for the systems genetics of drug consumption (Kaun et al. 2012).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>Behaviourally, flies exposed to cocaine display stereotypic motor responses and develop sensitisation to repeated intermittent exposure (McClung and Hirsh 1998; Filošević et al.</w:t>
      </w:r>
      <w:r>
        <w:rPr>
          <w:rFonts w:ascii="Calibri" w:eastAsia="Calibri" w:hAnsi="Calibri" w:cs="Calibri"/>
          <w:sz w:val="21"/>
        </w:rPr>
        <w:t xml:space="preserve"> 2018). Mutants of </w:t>
      </w:r>
      <w:r>
        <w:rPr>
          <w:rFonts w:ascii="Calibri" w:eastAsia="Calibri" w:hAnsi="Calibri" w:cs="Calibri"/>
          <w:i/>
          <w:sz w:val="21"/>
        </w:rPr>
        <w:t>moody</w:t>
      </w:r>
      <w:r>
        <w:rPr>
          <w:rFonts w:ascii="Calibri" w:eastAsia="Calibri" w:hAnsi="Calibri" w:cs="Calibri"/>
          <w:sz w:val="21"/>
        </w:rPr>
        <w:t>, which encodes two G protein-coupled receptor isoforms localised to surface glia, show increased sensitivity to cocaine (Bainton et al.</w:t>
      </w:r>
      <w:r>
        <w:rPr>
          <w:rFonts w:ascii="Calibri" w:eastAsia="Calibri" w:hAnsi="Calibri" w:cs="Calibri"/>
          <w:sz w:val="21"/>
        </w:rPr>
        <w:t xml:space="preserve"> 2005), indicating early that the response is not restricted to neurons.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 xml:space="preserve">Sex differences in psychostimulant </w:t>
      </w:r>
      <w:r>
        <w:rPr>
          <w:rFonts w:ascii="Calibri" w:eastAsia="Calibri" w:hAnsi="Calibri" w:cs="Calibri"/>
          <w:sz w:val="21"/>
        </w:rPr>
        <w:t>responses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>have been</w:t>
      </w:r>
      <w:r>
        <w:rPr>
          <w:rFonts w:ascii="Calibri" w:eastAsia="Calibri" w:hAnsi="Calibri" w:cs="Calibri"/>
          <w:sz w:val="21"/>
        </w:rPr>
        <w:t xml:space="preserve"> well documented in mammals.</w:t>
      </w:r>
      <w:r>
        <w:rPr>
          <w:rFonts w:ascii="Calibri" w:eastAsia="Calibri" w:hAnsi="Calibri" w:cs="Calibri"/>
          <w:sz w:val="21"/>
        </w:rPr>
        <w:t xml:space="preserve"> Women escalate drug use to the compulsive stage more rapidly than men (Westermeyer and Boedicker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2000; Haas and Peters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2000) and show greater relapse rates (Becker and Koob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2016), </w:t>
      </w:r>
      <w:r>
        <w:rPr>
          <w:rFonts w:ascii="Calibri" w:eastAsia="Calibri" w:hAnsi="Calibri" w:cs="Calibri"/>
          <w:sz w:val="21"/>
        </w:rPr>
        <w:t>whereas</w:t>
      </w:r>
      <w:r>
        <w:rPr>
          <w:rFonts w:ascii="Calibri" w:eastAsia="Calibri" w:hAnsi="Calibri" w:cs="Calibri"/>
          <w:sz w:val="21"/>
        </w:rPr>
        <w:t xml:space="preserve"> men experience the effects of cocaine faster and more intensely at equal doses (Lukas et al.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1996).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 xml:space="preserve">Studies using the </w:t>
      </w:r>
      <w:r>
        <w:rPr>
          <w:rFonts w:ascii="Calibri" w:eastAsia="Calibri" w:hAnsi="Calibri" w:cs="Calibri"/>
          <w:i/>
          <w:sz w:val="21"/>
        </w:rPr>
        <w:t>Drosophila</w:t>
      </w:r>
      <w:r>
        <w:rPr>
          <w:rFonts w:ascii="Calibri" w:eastAsia="Calibri" w:hAnsi="Calibri" w:cs="Calibri"/>
          <w:sz w:val="21"/>
        </w:rPr>
        <w:t xml:space="preserve"> Genetic Reference Panel (Mackay et al.</w:t>
      </w:r>
      <w:r>
        <w:rPr>
          <w:rFonts w:ascii="Calibri" w:eastAsia="Calibri" w:hAnsi="Calibri" w:cs="Calibri"/>
          <w:sz w:val="21"/>
        </w:rPr>
        <w:t xml:space="preserve"> 2012; Huang et al. 2014) identified candidate genes associated with variation in cocaine consumption and preference, implicating dopaminergic </w:t>
      </w:r>
      <w:r>
        <w:rPr>
          <w:rFonts w:ascii="Calibri" w:eastAsia="Calibri" w:hAnsi="Calibri" w:cs="Calibri"/>
          <w:sz w:val="21"/>
        </w:rPr>
        <w:t>neurones</w:t>
      </w:r>
      <w:r>
        <w:rPr>
          <w:rFonts w:ascii="Calibri" w:eastAsia="Calibri" w:hAnsi="Calibri" w:cs="Calibri"/>
          <w:sz w:val="21"/>
        </w:rPr>
        <w:t xml:space="preserve"> and mushroom bodies — central structures underlying experience-dependent modification of behaviour — as well as glia (Highfill et al. 2019).</w:t>
      </w:r>
    </w:p>
    <w:p>
      <w:pPr>
        <w:jc w:val="both"/>
      </w:pPr>
    </w:p>
    <w:p>
      <w:pPr>
        <w:pStyle w:val="Heading2"/>
        <w:jc w:val="both"/>
      </w:pPr>
      <w:r>
        <w:rPr>
          <w:rFonts w:ascii="Calibri" w:eastAsia="Calibri" w:hAnsi="Calibri" w:cs="Calibri"/>
          <w:b/>
          <w:color w:val="2E5C8A"/>
          <w:sz w:val="24"/>
        </w:rPr>
        <w:t>1.2 The case for single-cell resolution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 xml:space="preserve">Bulk transcriptomic profiling of </w:t>
      </w:r>
      <w:r>
        <w:rPr>
          <w:rFonts w:ascii="Calibri" w:eastAsia="Calibri" w:hAnsi="Calibri" w:cs="Calibri"/>
          <w:sz w:val="21"/>
        </w:rPr>
        <w:t>the</w:t>
      </w:r>
      <w:r>
        <w:rPr>
          <w:rFonts w:ascii="Calibri" w:eastAsia="Calibri" w:hAnsi="Calibri" w:cs="Calibri"/>
          <w:sz w:val="21"/>
        </w:rPr>
        <w:t xml:space="preserve"> whole brain averages </w:t>
      </w:r>
      <w:r>
        <w:rPr>
          <w:rFonts w:ascii="Calibri" w:eastAsia="Calibri" w:hAnsi="Calibri" w:cs="Calibri"/>
          <w:sz w:val="21"/>
        </w:rPr>
        <w:t xml:space="preserve">the </w:t>
      </w:r>
      <w:r>
        <w:rPr>
          <w:rFonts w:ascii="Calibri" w:eastAsia="Calibri" w:hAnsi="Calibri" w:cs="Calibri"/>
          <w:sz w:val="21"/>
        </w:rPr>
        <w:t>expression across all cell types present.</w:t>
      </w:r>
      <w:r>
        <w:rPr>
          <w:rFonts w:ascii="Calibri" w:eastAsia="Calibri" w:hAnsi="Calibri" w:cs="Calibri"/>
          <w:sz w:val="21"/>
        </w:rPr>
        <w:t xml:space="preserve"> A response confined to a single population is diluted by the non-responding majority and may fall below detection; opposing responses in different populations can </w:t>
      </w:r>
      <w:r>
        <w:rPr>
          <w:rFonts w:ascii="Calibri" w:eastAsia="Calibri" w:hAnsi="Calibri" w:cs="Calibri"/>
          <w:sz w:val="21"/>
        </w:rPr>
        <w:t>be cancelled</w:t>
      </w:r>
      <w:r>
        <w:rPr>
          <w:rFonts w:ascii="Calibri" w:eastAsia="Calibri" w:hAnsi="Calibri" w:cs="Calibri"/>
          <w:sz w:val="21"/>
        </w:rPr>
        <w:t xml:space="preserve"> entirely.</w:t>
      </w:r>
      <w:r>
        <w:rPr>
          <w:rFonts w:ascii="Calibri" w:eastAsia="Calibri" w:hAnsi="Calibri" w:cs="Calibri"/>
          <w:sz w:val="21"/>
        </w:rPr>
        <w:t xml:space="preserve"> Single-cell RNA sequencing removes this averaging, and the adult fly brain is small enough to be surveyed in </w:t>
      </w:r>
      <w:r>
        <w:rPr>
          <w:rFonts w:ascii="Calibri" w:eastAsia="Calibri" w:hAnsi="Calibri" w:cs="Calibri"/>
          <w:sz w:val="21"/>
        </w:rPr>
        <w:t>a single</w:t>
      </w:r>
      <w:r>
        <w:rPr>
          <w:rFonts w:ascii="Calibri" w:eastAsia="Calibri" w:hAnsi="Calibri" w:cs="Calibri"/>
          <w:sz w:val="21"/>
        </w:rPr>
        <w:t xml:space="preserve"> experiment.</w:t>
      </w:r>
      <w:r>
        <w:rPr>
          <w:rFonts w:ascii="Calibri" w:eastAsia="Calibri" w:hAnsi="Calibri" w:cs="Calibri"/>
          <w:sz w:val="21"/>
        </w:rPr>
        <w:t xml:space="preserve"> Reference atlases of the adult and aging </w:t>
      </w:r>
      <w:r>
        <w:rPr>
          <w:rFonts w:ascii="Calibri" w:eastAsia="Calibri" w:hAnsi="Calibri" w:cs="Calibri"/>
          <w:i/>
          <w:sz w:val="21"/>
        </w:rPr>
        <w:t>Drosophila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>brains</w:t>
      </w:r>
      <w:r>
        <w:rPr>
          <w:rFonts w:ascii="Calibri" w:eastAsia="Calibri" w:hAnsi="Calibri" w:cs="Calibri"/>
          <w:sz w:val="21"/>
        </w:rPr>
        <w:t xml:space="preserve"> already exist (Croset et al.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2018; Davie et al.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2018), providing marker sets against which new clusters can be annotated.</w:t>
      </w:r>
    </w:p>
    <w:p>
      <w:pPr>
        <w:jc w:val="both"/>
      </w:pPr>
    </w:p>
    <w:p>
      <w:pPr>
        <w:pStyle w:val="Heading2"/>
        <w:jc w:val="both"/>
      </w:pPr>
      <w:r>
        <w:rPr>
          <w:rFonts w:ascii="Calibri" w:eastAsia="Calibri" w:hAnsi="Calibri" w:cs="Calibri"/>
          <w:b/>
          <w:color w:val="2E5C8A"/>
          <w:sz w:val="24"/>
        </w:rPr>
        <w:t>1.3 The study reanalysed here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>Baker et al. (2021) applied this approach to acute cocaine consumption.</w:t>
      </w:r>
      <w:r>
        <w:rPr>
          <w:rFonts w:ascii="Calibri" w:eastAsia="Calibri" w:hAnsi="Calibri" w:cs="Calibri"/>
          <w:sz w:val="21"/>
        </w:rPr>
        <w:t xml:space="preserve"> Flies of both sexes consumed a fixed volume (0.53 µL) of sucrose or cocaine-supplemented sucrose in a modified capillary feeder assay (Ja et al.</w:t>
      </w:r>
      <w:r>
        <w:rPr>
          <w:rFonts w:ascii="Calibri" w:eastAsia="Calibri" w:hAnsi="Calibri" w:cs="Calibri"/>
          <w:sz w:val="21"/>
        </w:rPr>
        <w:t xml:space="preserve"> 2007); brains were dissected immediately and dissociated </w:t>
      </w:r>
      <w:r>
        <w:rPr>
          <w:rFonts w:ascii="Calibri" w:eastAsia="Calibri" w:hAnsi="Calibri" w:cs="Calibri"/>
          <w:sz w:val="21"/>
        </w:rPr>
        <w:t>using</w:t>
      </w:r>
      <w:r>
        <w:rPr>
          <w:rFonts w:ascii="Calibri" w:eastAsia="Calibri" w:hAnsi="Calibri" w:cs="Calibri"/>
          <w:sz w:val="21"/>
        </w:rPr>
        <w:t xml:space="preserve"> a protocol modified from Croset et al.</w:t>
      </w:r>
      <w:r>
        <w:rPr>
          <w:rFonts w:ascii="Calibri" w:eastAsia="Calibri" w:hAnsi="Calibri" w:cs="Calibri"/>
          <w:sz w:val="21"/>
        </w:rPr>
        <w:t xml:space="preserve"> (2018) and Davie et al.</w:t>
      </w:r>
      <w:r>
        <w:rPr>
          <w:rFonts w:ascii="Calibri" w:eastAsia="Calibri" w:hAnsi="Calibri" w:cs="Calibri"/>
          <w:sz w:val="21"/>
        </w:rPr>
        <w:t xml:space="preserve"> (2018). Eight samples of 20 brains each — two biological replicates per sex per treatment — were processed on the 10x Genomics Chromium platform.</w:t>
      </w:r>
      <w:r>
        <w:rPr>
          <w:rFonts w:ascii="Calibri" w:eastAsia="Calibri" w:hAnsi="Calibri" w:cs="Calibri"/>
          <w:sz w:val="21"/>
        </w:rPr>
        <w:t xml:space="preserve"> Processing used CellRanger v3.1 against </w:t>
      </w:r>
      <w:r>
        <w:rPr>
          <w:rFonts w:ascii="Calibri" w:eastAsia="Calibri" w:hAnsi="Calibri" w:cs="Calibri"/>
          <w:i/>
          <w:sz w:val="21"/>
        </w:rPr>
        <w:t>D. melanogaster</w:t>
      </w:r>
      <w:r>
        <w:rPr>
          <w:rFonts w:ascii="Calibri" w:eastAsia="Calibri" w:hAnsi="Calibri" w:cs="Calibri"/>
          <w:sz w:val="21"/>
        </w:rPr>
        <w:t xml:space="preserve"> Release 6, then Seurat v3 (Butler et al.</w:t>
      </w:r>
      <w:r>
        <w:rPr>
          <w:rFonts w:ascii="Calibri" w:eastAsia="Calibri" w:hAnsi="Calibri" w:cs="Calibri"/>
          <w:sz w:val="21"/>
        </w:rPr>
        <w:t xml:space="preserve"> 2018) with SCTransform normalisation (Hafemeister and Satija 2019), shared-nearest-neighbour clustering at resolution 0.8, UMAP visualisation (Becht et al.</w:t>
      </w:r>
      <w:r>
        <w:rPr>
          <w:rFonts w:ascii="Calibri" w:eastAsia="Calibri" w:hAnsi="Calibri" w:cs="Calibri"/>
          <w:sz w:val="21"/>
        </w:rPr>
        <w:t xml:space="preserve"> 2019), and MAST for differential expression.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 xml:space="preserve">The principal conclusions were: that unsupervised clustering of 86,224 cells yielded 36 stable clusters spanning all major neuronal and glial classes; that acute cocaine elicits rapid, widespread transcriptional change; that responses are cell-type specific, with Kenyon cells (their C11, C20) and glia (C17, C22) among the strongest responders; and that the response is profoundly sexually dimorphic, with 691 differentially expressed genes in males </w:t>
      </w:r>
      <w:r>
        <w:rPr>
          <w:rFonts w:ascii="Calibri" w:eastAsia="Calibri" w:hAnsi="Calibri" w:cs="Calibri"/>
          <w:sz w:val="21"/>
        </w:rPr>
        <w:t>and</w:t>
      </w:r>
      <w:r>
        <w:rPr>
          <w:rFonts w:ascii="Calibri" w:eastAsia="Calibri" w:hAnsi="Calibri" w:cs="Calibri"/>
          <w:sz w:val="21"/>
        </w:rPr>
        <w:t xml:space="preserve"> 322 in females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 xml:space="preserve">with </w:t>
      </w:r>
      <w:r>
        <w:rPr>
          <w:rFonts w:ascii="Calibri" w:eastAsia="Calibri" w:hAnsi="Calibri" w:cs="Calibri"/>
          <w:sz w:val="21"/>
        </w:rPr>
        <w:t>little overlap between the sexes.</w:t>
      </w:r>
    </w:p>
    <w:p>
      <w:pPr>
        <w:jc w:val="both"/>
      </w:pPr>
    </w:p>
    <w:p>
      <w:pPr>
        <w:pStyle w:val="Heading2"/>
        <w:jc w:val="both"/>
      </w:pPr>
      <w:r>
        <w:rPr>
          <w:rFonts w:ascii="Calibri" w:eastAsia="Calibri" w:hAnsi="Calibri" w:cs="Calibri"/>
          <w:b/>
          <w:color w:val="2E5C8A"/>
          <w:sz w:val="24"/>
        </w:rPr>
        <w:t>1.4 Rationale: reproduction is not verification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>The reanalysis</w:t>
      </w:r>
      <w:r>
        <w:rPr>
          <w:rFonts w:ascii="Calibri" w:eastAsia="Calibri" w:hAnsi="Calibri" w:cs="Calibri"/>
          <w:sz w:val="21"/>
        </w:rPr>
        <w:t xml:space="preserve"> of deposited data serves two distinct purposes that are worth separating.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b/>
          <w:sz w:val="21"/>
        </w:rPr>
        <w:t>Reproduction</w:t>
      </w:r>
      <w:r>
        <w:rPr>
          <w:rFonts w:ascii="Calibri" w:eastAsia="Calibri" w:hAnsi="Calibri" w:cs="Calibri"/>
          <w:sz w:val="21"/>
        </w:rPr>
        <w:t xml:space="preserve"> asks whether an independent pipeline recovers the published result.</w:t>
      </w:r>
      <w:r>
        <w:rPr>
          <w:rFonts w:ascii="Calibri" w:eastAsia="Calibri" w:hAnsi="Calibri" w:cs="Calibri"/>
          <w:sz w:val="21"/>
        </w:rPr>
        <w:t xml:space="preserve"> A finding that survives Scanpy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Seurat, Leiden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shared-nearest-neighbour clustering, and Wilcoxon </w:t>
      </w:r>
      <w:r>
        <w:rPr>
          <w:rFonts w:ascii="Calibri" w:eastAsia="Calibri" w:hAnsi="Calibri" w:cs="Calibri"/>
          <w:sz w:val="21"/>
        </w:rPr>
        <w:t>and</w:t>
      </w:r>
      <w:r>
        <w:rPr>
          <w:rFonts w:ascii="Calibri" w:eastAsia="Calibri" w:hAnsi="Calibri" w:cs="Calibri"/>
          <w:sz w:val="21"/>
        </w:rPr>
        <w:t xml:space="preserve"> MAST is more robust than one demonstrated once.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b/>
          <w:sz w:val="21"/>
        </w:rPr>
        <w:t>Verification</w:t>
      </w:r>
      <w:r>
        <w:rPr>
          <w:rFonts w:ascii="Calibri" w:eastAsia="Calibri" w:hAnsi="Calibri" w:cs="Calibri"/>
          <w:sz w:val="21"/>
        </w:rPr>
        <w:t xml:space="preserve"> asks whether the published conclusions are supported by the data as analysed.</w:t>
      </w:r>
      <w:r>
        <w:rPr>
          <w:rFonts w:ascii="Calibri" w:eastAsia="Calibri" w:hAnsi="Calibri" w:cs="Calibri"/>
          <w:sz w:val="21"/>
        </w:rPr>
        <w:t xml:space="preserve"> These can come apart. Differential expression in single-cell data is vulnerable to several confounds that are not visible in a published figure but are detectable in the deposited data.</w:t>
      </w:r>
      <w:r>
        <w:rPr>
          <w:rFonts w:ascii="Calibri" w:eastAsia="Calibri" w:hAnsi="Calibri" w:cs="Calibri"/>
          <w:sz w:val="21"/>
        </w:rPr>
        <w:t xml:space="preserve"> Cells from one animal are not statistically independent</w:t>
      </w:r>
      <w:r>
        <w:rPr>
          <w:rFonts w:ascii="Calibri" w:eastAsia="Calibri" w:hAnsi="Calibri" w:cs="Calibri"/>
          <w:sz w:val="21"/>
        </w:rPr>
        <w:t>; therefore,</w:t>
      </w:r>
      <w:r>
        <w:rPr>
          <w:rFonts w:ascii="Calibri" w:eastAsia="Calibri" w:hAnsi="Calibri" w:cs="Calibri"/>
          <w:sz w:val="21"/>
        </w:rPr>
        <w:t xml:space="preserve"> treating thousands of cells from two animals as thousands of observations inflates significance — a form of pseudoreplication shown to generate hundreds of differentially expressed genes in the complete absence of biological differences (Squair et al.</w:t>
      </w:r>
      <w:r>
        <w:rPr>
          <w:rFonts w:ascii="Calibri" w:eastAsia="Calibri" w:hAnsi="Calibri" w:cs="Calibri"/>
          <w:sz w:val="21"/>
        </w:rPr>
        <w:t xml:space="preserve"> 2021; Zimmerman et al. 2021).</w:t>
      </w:r>
      <w:r>
        <w:rPr>
          <w:rFonts w:ascii="Calibri" w:eastAsia="Calibri" w:hAnsi="Calibri" w:cs="Calibri"/>
          <w:sz w:val="21"/>
        </w:rPr>
        <w:t xml:space="preserve"> Free RNA from lysed cells partitions into droplets and is misattributed to intact cells (Young and Behjati 2020).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>Systematic</w:t>
      </w:r>
      <w:r>
        <w:rPr>
          <w:rFonts w:ascii="Calibri" w:eastAsia="Calibri" w:hAnsi="Calibri" w:cs="Calibri"/>
          <w:sz w:val="21"/>
        </w:rPr>
        <w:t xml:space="preserve"> differences in dissociation quality or capture efficiency between experimental groups produce expression differences that are </w:t>
      </w:r>
      <w:r>
        <w:rPr>
          <w:rFonts w:ascii="Calibri" w:eastAsia="Calibri" w:hAnsi="Calibri" w:cs="Calibri"/>
          <w:sz w:val="21"/>
        </w:rPr>
        <w:t>technically</w:t>
      </w:r>
      <w:r>
        <w:rPr>
          <w:rFonts w:ascii="Calibri" w:eastAsia="Calibri" w:hAnsi="Calibri" w:cs="Calibri"/>
          <w:sz w:val="21"/>
        </w:rPr>
        <w:t xml:space="preserve"> but statistically indistinguishable from biological ones.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>Each requires a specific test.</w:t>
      </w:r>
      <w:r>
        <w:rPr>
          <w:rFonts w:ascii="Calibri" w:eastAsia="Calibri" w:hAnsi="Calibri" w:cs="Calibri"/>
          <w:sz w:val="21"/>
        </w:rPr>
        <w:t xml:space="preserve"> This reanalysis </w:t>
      </w:r>
      <w:r>
        <w:rPr>
          <w:rFonts w:ascii="Calibri" w:eastAsia="Calibri" w:hAnsi="Calibri" w:cs="Calibri"/>
          <w:sz w:val="21"/>
        </w:rPr>
        <w:t>applies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 xml:space="preserve">to </w:t>
      </w:r>
      <w:r>
        <w:rPr>
          <w:rFonts w:ascii="Calibri" w:eastAsia="Calibri" w:hAnsi="Calibri" w:cs="Calibri"/>
          <w:sz w:val="21"/>
        </w:rPr>
        <w:t>them.</w:t>
      </w:r>
    </w:p>
    <w:p>
      <w:pPr>
        <w:jc w:val="both"/>
      </w:pPr>
    </w:p>
    <w:p>
      <w:pPr>
        <w:pStyle w:val="Heading1"/>
        <w:jc w:val="both"/>
      </w:pPr>
      <w:r>
        <w:rPr>
          <w:rFonts w:ascii="Calibri" w:eastAsia="Calibri" w:hAnsi="Calibri" w:cs="Calibri"/>
          <w:b/>
          <w:color w:val="1F3864"/>
          <w:sz w:val="30"/>
        </w:rPr>
        <w:t>2. Methods</w:t>
      </w:r>
    </w:p>
    <w:p/>
    <w:p>
      <w:pPr>
        <w:pStyle w:val="Heading2"/>
      </w:pPr>
      <w:r>
        <w:rPr>
          <w:rFonts w:ascii="Calibri" w:eastAsia="Calibri" w:hAnsi="Calibri" w:cs="Calibri"/>
          <w:b/>
          <w:color w:val="2E5C8A"/>
          <w:sz w:val="24"/>
        </w:rPr>
        <w:t>2.1 Data and pre-analysis corrections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>Count matrices for GSE152495 were pre-processed as eight CellRanger v3 output directories.</w:t>
      </w:r>
      <w:r>
        <w:rPr>
          <w:rFonts w:ascii="Calibri" w:eastAsia="Calibri" w:hAnsi="Calibri" w:cs="Calibri"/>
          <w:sz w:val="21"/>
        </w:rPr>
        <w:t xml:space="preserve"> Three problems were identified and corrected before </w:t>
      </w:r>
      <w:r>
        <w:rPr>
          <w:rFonts w:ascii="Calibri" w:eastAsia="Calibri" w:hAnsi="Calibri" w:cs="Calibri"/>
          <w:sz w:val="21"/>
        </w:rPr>
        <w:t xml:space="preserve">the </w:t>
      </w:r>
      <w:r>
        <w:rPr>
          <w:rFonts w:ascii="Calibri" w:eastAsia="Calibri" w:hAnsi="Calibri" w:cs="Calibri"/>
          <w:sz w:val="21"/>
        </w:rPr>
        <w:t>analysis; each would have propagated silently.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b/>
          <w:sz w:val="21"/>
        </w:rPr>
        <w:t>Delimiter.</w:t>
      </w:r>
      <w:r>
        <w:rPr>
          <w:rFonts w:ascii="Calibri" w:eastAsia="Calibri" w:hAnsi="Calibri" w:cs="Calibri"/>
          <w:sz w:val="21"/>
        </w:rPr>
        <w:t xml:space="preserve"> The supplied </w:t>
      </w:r>
      <w:r>
        <w:rPr>
          <w:rFonts w:ascii="Consolas" w:eastAsia="Consolas" w:hAnsi="Consolas" w:cs="Consolas"/>
          <w:sz w:val="20"/>
        </w:rPr>
        <w:t>features.tsv.gz</w:t>
      </w:r>
      <w:r>
        <w:rPr>
          <w:rFonts w:ascii="Calibri" w:eastAsia="Calibri" w:hAnsi="Calibri" w:cs="Calibri"/>
          <w:sz w:val="21"/>
        </w:rPr>
        <w:t xml:space="preserve"> files were space- rather than tab-delimited, which </w:t>
      </w:r>
      <w:r>
        <w:rPr>
          <w:rFonts w:ascii="Consolas" w:eastAsia="Consolas" w:hAnsi="Consolas" w:cs="Consolas"/>
          <w:sz w:val="20"/>
        </w:rPr>
        <w:t>scanpy.read_10x_mtx</w:t>
      </w:r>
      <w:r>
        <w:rPr>
          <w:rFonts w:ascii="Calibri" w:eastAsia="Calibri" w:hAnsi="Calibri" w:cs="Calibri"/>
          <w:sz w:val="21"/>
        </w:rPr>
        <w:t xml:space="preserve"> cannot parse.</w:t>
      </w:r>
      <w:r>
        <w:rPr>
          <w:rFonts w:ascii="Calibri" w:eastAsia="Calibri" w:hAnsi="Calibri" w:cs="Calibri"/>
          <w:sz w:val="21"/>
        </w:rPr>
        <w:t xml:space="preserve"> Fields </w:t>
      </w:r>
      <w:r>
        <w:rPr>
          <w:rFonts w:ascii="Calibri" w:eastAsia="Calibri" w:hAnsi="Calibri" w:cs="Calibri"/>
          <w:sz w:val="21"/>
        </w:rPr>
        <w:t xml:space="preserve">were </w:t>
      </w:r>
      <w:r>
        <w:rPr>
          <w:rFonts w:ascii="Calibri" w:eastAsia="Calibri" w:hAnsi="Calibri" w:cs="Calibri"/>
          <w:sz w:val="21"/>
        </w:rPr>
        <w:t>collapsed into one column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and gene-symbol assignment failed.</w:t>
      </w:r>
      <w:r>
        <w:rPr>
          <w:rFonts w:ascii="Calibri" w:eastAsia="Calibri" w:hAnsi="Calibri" w:cs="Calibri"/>
          <w:sz w:val="21"/>
        </w:rPr>
        <w:t xml:space="preserve"> Files were converted with field content unchanged (17,481 lines per file)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 xml:space="preserve">and the </w:t>
      </w:r>
      <w:r>
        <w:rPr>
          <w:rFonts w:ascii="Calibri" w:eastAsia="Calibri" w:hAnsi="Calibri" w:cs="Calibri"/>
          <w:sz w:val="21"/>
        </w:rPr>
        <w:t>originals were retained.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b/>
          <w:sz w:val="21"/>
        </w:rPr>
        <w:t>Gene nomenclature.</w:t>
      </w:r>
      <w:r>
        <w:rPr>
          <w:rFonts w:ascii="Calibri" w:eastAsia="Calibri" w:hAnsi="Calibri" w:cs="Calibri"/>
          <w:sz w:val="21"/>
        </w:rPr>
        <w:t xml:space="preserve"> The gene </w:t>
      </w:r>
      <w:r>
        <w:rPr>
          <w:rFonts w:ascii="Calibri" w:eastAsia="Calibri" w:hAnsi="Calibri" w:cs="Calibri"/>
          <w:i/>
          <w:sz w:val="21"/>
        </w:rPr>
        <w:t>nanchung</w:t>
      </w:r>
      <w:r>
        <w:rPr>
          <w:rFonts w:ascii="Calibri" w:eastAsia="Calibri" w:hAnsi="Calibri" w:cs="Calibri"/>
          <w:sz w:val="21"/>
        </w:rPr>
        <w:t xml:space="preserve"> (Dmel_CG5842, FlyBase symbol </w:t>
      </w:r>
      <w:r>
        <w:rPr>
          <w:rFonts w:ascii="Consolas" w:eastAsia="Consolas" w:hAnsi="Consolas" w:cs="Consolas"/>
          <w:sz w:val="20"/>
        </w:rPr>
        <w:t>nan</w:t>
      </w:r>
      <w:r>
        <w:rPr>
          <w:rFonts w:ascii="Calibri" w:eastAsia="Calibri" w:hAnsi="Calibri" w:cs="Calibri"/>
          <w:sz w:val="21"/>
        </w:rPr>
        <w:t>) is interpreted by pandas as a missing value rather than text, leaving one gene unnamed and preventing HDF5 serialisation.</w:t>
      </w:r>
      <w:r>
        <w:rPr>
          <w:rFonts w:ascii="Calibri" w:eastAsia="Calibri" w:hAnsi="Calibri" w:cs="Calibri"/>
          <w:sz w:val="21"/>
        </w:rPr>
        <w:t xml:space="preserve"> It was renamed </w:t>
      </w:r>
      <w:r>
        <w:rPr>
          <w:rFonts w:ascii="Consolas" w:eastAsia="Consolas" w:hAnsi="Consolas" w:cs="Consolas"/>
          <w:sz w:val="20"/>
        </w:rPr>
        <w:t>CG5842</w:t>
      </w:r>
      <w:r>
        <w:rPr>
          <w:rFonts w:ascii="Calibri" w:eastAsia="Calibri" w:hAnsi="Calibri" w:cs="Calibri"/>
          <w:sz w:val="21"/>
        </w:rPr>
        <w:t xml:space="preserve">. The related gene </w:t>
      </w:r>
      <w:r>
        <w:rPr>
          <w:rFonts w:ascii="Calibri" w:eastAsia="Calibri" w:hAnsi="Calibri" w:cs="Calibri"/>
          <w:i/>
          <w:sz w:val="21"/>
        </w:rPr>
        <w:t>narrow abdomen</w:t>
      </w:r>
      <w:r>
        <w:rPr>
          <w:rFonts w:ascii="Calibri" w:eastAsia="Calibri" w:hAnsi="Calibri" w:cs="Calibri"/>
          <w:sz w:val="21"/>
        </w:rPr>
        <w:t xml:space="preserve"> (</w:t>
      </w:r>
      <w:r>
        <w:rPr>
          <w:rFonts w:ascii="Consolas" w:eastAsia="Consolas" w:hAnsi="Consolas" w:cs="Consolas"/>
          <w:sz w:val="20"/>
        </w:rPr>
        <w:t>na</w:t>
      </w:r>
      <w:r>
        <w:rPr>
          <w:rFonts w:ascii="Calibri" w:eastAsia="Calibri" w:hAnsi="Calibri" w:cs="Calibri"/>
          <w:sz w:val="21"/>
        </w:rPr>
        <w:t xml:space="preserve">, Dmel_CG1517) </w:t>
      </w:r>
      <w:r>
        <w:rPr>
          <w:rFonts w:ascii="Calibri" w:eastAsia="Calibri" w:hAnsi="Calibri" w:cs="Calibri"/>
          <w:sz w:val="21"/>
        </w:rPr>
        <w:t>was</w:t>
      </w:r>
      <w:r>
        <w:rPr>
          <w:rFonts w:ascii="Calibri" w:eastAsia="Calibri" w:hAnsi="Calibri" w:cs="Calibri"/>
          <w:sz w:val="21"/>
        </w:rPr>
        <w:t xml:space="preserve"> unaffected, as lowercase </w:t>
      </w:r>
      <w:r>
        <w:rPr>
          <w:rFonts w:ascii="Consolas" w:eastAsia="Consolas" w:hAnsi="Consolas" w:cs="Consolas"/>
          <w:sz w:val="20"/>
        </w:rPr>
        <w:t>na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>was</w:t>
      </w:r>
      <w:r>
        <w:rPr>
          <w:rFonts w:ascii="Calibri" w:eastAsia="Calibri" w:hAnsi="Calibri" w:cs="Calibri"/>
          <w:sz w:val="21"/>
        </w:rPr>
        <w:t xml:space="preserve"> not in the default missing-value list.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 xml:space="preserve">The reference additionally </w:t>
      </w:r>
      <w:r>
        <w:rPr>
          <w:rFonts w:ascii="Calibri" w:eastAsia="Calibri" w:hAnsi="Calibri" w:cs="Calibri"/>
          <w:sz w:val="21"/>
        </w:rPr>
        <w:t>substituted</w:t>
      </w:r>
      <w:r>
        <w:rPr>
          <w:rFonts w:ascii="Calibri" w:eastAsia="Calibri" w:hAnsi="Calibri" w:cs="Calibri"/>
          <w:sz w:val="21"/>
        </w:rPr>
        <w:t xml:space="preserve"> vertebrate </w:t>
      </w:r>
      <w:r>
        <w:rPr>
          <w:rFonts w:ascii="Calibri" w:eastAsia="Calibri" w:hAnsi="Calibri" w:cs="Calibri"/>
          <w:sz w:val="21"/>
        </w:rPr>
        <w:t>orthologue</w:t>
      </w:r>
      <w:r>
        <w:rPr>
          <w:rFonts w:ascii="Calibri" w:eastAsia="Calibri" w:hAnsi="Calibri" w:cs="Calibri"/>
          <w:sz w:val="21"/>
        </w:rPr>
        <w:t xml:space="preserve"> names for five fly symbols, resolved by gene ID against FlyBase (Thurmond et al.</w:t>
      </w:r>
      <w:r>
        <w:rPr>
          <w:rFonts w:ascii="Calibri" w:eastAsia="Calibri" w:hAnsi="Calibri" w:cs="Calibri"/>
          <w:sz w:val="21"/>
        </w:rPr>
        <w:t xml:space="preserve"> 2019): </w:t>
      </w:r>
      <w:r>
        <w:rPr>
          <w:rFonts w:ascii="Consolas" w:eastAsia="Consolas" w:hAnsi="Consolas" w:cs="Consolas"/>
          <w:sz w:val="20"/>
        </w:rPr>
        <w:t>VGlut1</w:t>
      </w:r>
      <w:r>
        <w:rPr>
          <w:rFonts w:ascii="Calibri" w:eastAsia="Calibri" w:hAnsi="Calibri" w:cs="Calibri"/>
          <w:sz w:val="21"/>
        </w:rPr>
        <w:t xml:space="preserve"> = VGlut (CG9887), </w:t>
      </w:r>
      <w:r>
        <w:rPr>
          <w:rFonts w:ascii="Consolas" w:eastAsia="Consolas" w:hAnsi="Consolas" w:cs="Consolas"/>
          <w:sz w:val="20"/>
        </w:rPr>
        <w:t>Adcy1</w:t>
      </w:r>
      <w:r>
        <w:rPr>
          <w:rFonts w:ascii="Calibri" w:eastAsia="Calibri" w:hAnsi="Calibri" w:cs="Calibri"/>
          <w:sz w:val="21"/>
        </w:rPr>
        <w:t xml:space="preserve"> = </w:t>
      </w:r>
      <w:r>
        <w:rPr>
          <w:rFonts w:ascii="Calibri" w:eastAsia="Calibri" w:hAnsi="Calibri" w:cs="Calibri"/>
          <w:i/>
          <w:sz w:val="21"/>
        </w:rPr>
        <w:t>rut</w:t>
      </w:r>
      <w:r>
        <w:rPr>
          <w:rFonts w:ascii="Calibri" w:eastAsia="Calibri" w:hAnsi="Calibri" w:cs="Calibri"/>
          <w:sz w:val="21"/>
        </w:rPr>
        <w:t xml:space="preserve"> (CG9533), </w:t>
      </w:r>
      <w:r>
        <w:rPr>
          <w:rFonts w:ascii="Consolas" w:eastAsia="Consolas" w:hAnsi="Consolas" w:cs="Consolas"/>
          <w:sz w:val="20"/>
        </w:rPr>
        <w:t>Pde4</w:t>
      </w:r>
      <w:r>
        <w:rPr>
          <w:rFonts w:ascii="Calibri" w:eastAsia="Calibri" w:hAnsi="Calibri" w:cs="Calibri"/>
          <w:sz w:val="21"/>
        </w:rPr>
        <w:t xml:space="preserve"> = </w:t>
      </w:r>
      <w:r>
        <w:rPr>
          <w:rFonts w:ascii="Calibri" w:eastAsia="Calibri" w:hAnsi="Calibri" w:cs="Calibri"/>
          <w:i/>
          <w:sz w:val="21"/>
        </w:rPr>
        <w:t>dnc</w:t>
      </w:r>
      <w:r>
        <w:rPr>
          <w:rFonts w:ascii="Calibri" w:eastAsia="Calibri" w:hAnsi="Calibri" w:cs="Calibri"/>
          <w:sz w:val="21"/>
        </w:rPr>
        <w:t xml:space="preserve"> (CG32498), </w:t>
      </w:r>
      <w:r>
        <w:rPr>
          <w:rFonts w:ascii="Consolas" w:eastAsia="Consolas" w:hAnsi="Consolas" w:cs="Consolas"/>
          <w:sz w:val="20"/>
        </w:rPr>
        <w:t>Trhn</w:t>
      </w:r>
      <w:r>
        <w:rPr>
          <w:rFonts w:ascii="Calibri" w:eastAsia="Calibri" w:hAnsi="Calibri" w:cs="Calibri"/>
          <w:sz w:val="21"/>
        </w:rPr>
        <w:t xml:space="preserve"> = Trh (CG9122), </w:t>
      </w:r>
      <w:r>
        <w:rPr>
          <w:rFonts w:ascii="Consolas" w:eastAsia="Consolas" w:hAnsi="Consolas" w:cs="Consolas"/>
          <w:sz w:val="20"/>
        </w:rPr>
        <w:t>Tret1</w:t>
      </w:r>
      <w:r>
        <w:rPr>
          <w:rFonts w:ascii="Calibri" w:eastAsia="Calibri" w:hAnsi="Calibri" w:cs="Calibri"/>
          <w:sz w:val="21"/>
        </w:rPr>
        <w:t xml:space="preserve"> = Tret1-1 (CG30035).</w:t>
      </w:r>
      <w:r>
        <w:rPr>
          <w:rFonts w:ascii="Calibri" w:eastAsia="Calibri" w:hAnsi="Calibri" w:cs="Calibri"/>
          <w:sz w:val="21"/>
        </w:rPr>
        <w:t xml:space="preserve"> Critically, </w:t>
      </w:r>
      <w:r>
        <w:rPr>
          <w:rFonts w:ascii="Consolas" w:eastAsia="Consolas" w:hAnsi="Consolas" w:cs="Consolas"/>
          <w:sz w:val="20"/>
        </w:rPr>
        <w:t>trh</w:t>
      </w:r>
      <w:r>
        <w:rPr>
          <w:rFonts w:ascii="Calibri" w:eastAsia="Calibri" w:hAnsi="Calibri" w:cs="Calibri"/>
          <w:sz w:val="21"/>
        </w:rPr>
        <w:t xml:space="preserve"> (lowercase) in this reference is CG42865, </w:t>
      </w:r>
      <w:r>
        <w:rPr>
          <w:rFonts w:ascii="Calibri" w:eastAsia="Calibri" w:hAnsi="Calibri" w:cs="Calibri"/>
          <w:i/>
          <w:sz w:val="21"/>
        </w:rPr>
        <w:t>trachealess</w:t>
      </w:r>
      <w:r>
        <w:rPr>
          <w:rFonts w:ascii="Calibri" w:eastAsia="Calibri" w:hAnsi="Calibri" w:cs="Calibri"/>
          <w:sz w:val="21"/>
        </w:rPr>
        <w:t xml:space="preserve"> — an unrelated tracheal transcription factor.</w:t>
      </w:r>
      <w:r>
        <w:rPr>
          <w:rFonts w:ascii="Calibri" w:eastAsia="Calibri" w:hAnsi="Calibri" w:cs="Calibri"/>
          <w:sz w:val="21"/>
        </w:rPr>
        <w:t xml:space="preserve"> Marker matching was therefore performed case-sensitively; a case-insensitive match would have labelled a cluster serotonergic on the basis of a tracheal gene.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b/>
          <w:sz w:val="21"/>
        </w:rPr>
        <w:t>Sample labels.</w:t>
      </w:r>
      <w:r>
        <w:rPr>
          <w:rFonts w:ascii="Calibri" w:eastAsia="Calibri" w:hAnsi="Calibri" w:cs="Calibri"/>
          <w:sz w:val="21"/>
        </w:rPr>
        <w:t xml:space="preserve"> Sex-specific markers separated the eight samples into two groups of four, but the split followed the treatment field of the folder name rather than the sex field.</w:t>
      </w:r>
      <w:r>
        <w:rPr>
          <w:rFonts w:ascii="Calibri" w:eastAsia="Calibri" w:hAnsi="Calibri" w:cs="Calibri"/>
          <w:sz w:val="21"/>
        </w:rPr>
        <w:t xml:space="preserve"> The male panel (roX1, roX2, MSL complex) gave a 10.6-fold non-overlapping separation by treatment label and 1.0-fold by sex label; the female panel (Sxl, Yp1–Yp3, </w:t>
      </w:r>
      <w:r>
        <w:rPr>
          <w:rFonts w:ascii="Calibri" w:eastAsia="Calibri" w:hAnsi="Calibri" w:cs="Calibri"/>
          <w:i/>
          <w:sz w:val="21"/>
        </w:rPr>
        <w:t>tra</w:t>
      </w:r>
      <w:r>
        <w:rPr>
          <w:rFonts w:ascii="Calibri" w:eastAsia="Calibri" w:hAnsi="Calibri" w:cs="Calibri"/>
          <w:sz w:val="21"/>
        </w:rPr>
        <w:t>) gave 2.1-fold and 1.2-fold</w:t>
      </w:r>
      <w:r>
        <w:rPr>
          <w:rFonts w:ascii="Calibri" w:eastAsia="Calibri" w:hAnsi="Calibri" w:cs="Calibri"/>
          <w:sz w:val="21"/>
        </w:rPr>
        <w:t>, respectively</w:t>
      </w:r>
      <w:r>
        <w:rPr>
          <w:rFonts w:ascii="Calibri" w:eastAsia="Calibri" w:hAnsi="Calibri" w:cs="Calibri"/>
          <w:sz w:val="21"/>
        </w:rPr>
        <w:t>.</w:t>
      </w:r>
      <w:r>
        <w:rPr>
          <w:rFonts w:ascii="Calibri" w:eastAsia="Calibri" w:hAnsi="Calibri" w:cs="Calibri"/>
          <w:sz w:val="21"/>
        </w:rPr>
        <w:t xml:space="preserve"> Yolk proteins read 0.000–0.001 in all four samples labelled </w:t>
      </w:r>
      <w:r>
        <w:rPr>
          <w:rFonts w:ascii="Calibri" w:eastAsia="Calibri" w:hAnsi="Calibri" w:cs="Calibri"/>
          <w:sz w:val="21"/>
        </w:rPr>
        <w:t>sucrose</w:t>
      </w:r>
      <w:r>
        <w:rPr>
          <w:rFonts w:ascii="Calibri" w:eastAsia="Calibri" w:hAnsi="Calibri" w:cs="Calibri"/>
          <w:sz w:val="21"/>
        </w:rPr>
        <w:t xml:space="preserve"> and 0.028–0.422 in all four labelled </w:t>
      </w:r>
      <w:r>
        <w:rPr>
          <w:rFonts w:ascii="Calibri" w:eastAsia="Calibri" w:hAnsi="Calibri" w:cs="Calibri"/>
          <w:sz w:val="21"/>
        </w:rPr>
        <w:t>cocaine</w:t>
      </w:r>
      <w:r>
        <w:rPr>
          <w:rFonts w:ascii="Calibri" w:eastAsia="Calibri" w:hAnsi="Calibri" w:cs="Calibri"/>
          <w:sz w:val="21"/>
        </w:rPr>
        <w:t>; as yolk proteins are transcribed only in females, this cannot be a drug effect.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>Sample identities were reconstructed from the deposition order given in the authors’ published analysis code, which lists S1–S2 as female sucrose, S3–S4 as male sucrose, S5–S6 as female cocaine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and S7–S8 as male cocaine.</w:t>
      </w:r>
      <w:r>
        <w:rPr>
          <w:rFonts w:ascii="Calibri" w:eastAsia="Calibri" w:hAnsi="Calibri" w:cs="Calibri"/>
          <w:sz w:val="21"/>
        </w:rPr>
        <w:t xml:space="preserve"> Pairing that order against the supplied folder names sorted alphabetically reproduces the observed marker pattern for all eight samples.</w:t>
      </w:r>
      <w:r>
        <w:rPr>
          <w:rFonts w:ascii="Calibri" w:eastAsia="Calibri" w:hAnsi="Calibri" w:cs="Calibri"/>
          <w:sz w:val="21"/>
        </w:rPr>
        <w:t xml:space="preserve"> Four sex labels and four treatment labels were corrected.</w:t>
      </w:r>
      <w:r>
        <w:rPr>
          <w:rFonts w:ascii="Calibri" w:eastAsia="Calibri" w:hAnsi="Calibri" w:cs="Calibri"/>
          <w:sz w:val="21"/>
        </w:rPr>
        <w:t xml:space="preserve"> After correction, roX1 reads 3.898 in males versus 0.074 in females and Yp1–Yp3 are approximately 100-fold higher in females.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b/>
          <w:sz w:val="21"/>
        </w:rPr>
        <w:t>Sex assignment is confirmed by marker evidence; treatment assignment is inferred from deposition order</w:t>
      </w:r>
      <w:r>
        <w:rPr>
          <w:rFonts w:ascii="Calibri" w:eastAsia="Calibri" w:hAnsi="Calibri" w:cs="Calibri"/>
          <w:sz w:val="21"/>
        </w:rPr>
        <w:t>, as no marker gene reports drug consumption.</w:t>
      </w:r>
    </w:p>
    <w:p>
      <w:pPr>
        <w:jc w:val="both"/>
      </w:pPr>
    </w:p>
    <w:p>
      <w:r>
        <w:rPr>
          <w:rFonts w:ascii="Calibri" w:eastAsia="Calibri" w:hAnsi="Calibri" w:cs="Calibri"/>
          <w:b/>
          <w:sz w:val="18"/>
        </w:rPr>
        <w:t xml:space="preserve">Table 1. </w:t>
      </w:r>
      <w:r>
        <w:rPr>
          <w:rFonts w:ascii="Calibri" w:eastAsia="Calibri" w:hAnsi="Calibri" w:cs="Calibri"/>
          <w:sz w:val="18"/>
        </w:rPr>
        <w:t xml:space="preserve">Corrected sample </w:t>
      </w:r>
      <w:r>
        <w:rPr>
          <w:rFonts w:ascii="Calibri" w:eastAsia="Calibri" w:hAnsi="Calibri" w:cs="Calibri"/>
          <w:sz w:val="18"/>
        </w:rPr>
        <w:t>identity</w:t>
      </w:r>
      <w:r>
        <w:rPr>
          <w:rFonts w:ascii="Calibri" w:eastAsia="Calibri" w:hAnsi="Calibri" w:cs="Calibri"/>
          <w:sz w:val="18"/>
        </w:rPr>
        <w:t>.</w:t>
      </w:r>
      <w:r>
        <w:rPr>
          <w:rFonts w:ascii="Calibri" w:eastAsia="Calibri" w:hAnsi="Calibri" w:cs="Calibri"/>
          <w:sz w:val="18"/>
        </w:rPr>
        <w:t xml:space="preserve"> Four sex labels and four treatment labels differ from the folder names supplied.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3193"/>
        <w:gridCol w:w="1682"/>
        <w:gridCol w:w="2056"/>
        <w:gridCol w:w="243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193" w:type="dxa"/>
            <w:shd w:val="clear" w:color="auto" w:fill="FFFFFF"/>
          </w:tcPr>
          <w:p>
            <w:r>
              <w:rPr>
                <w:rFonts w:ascii="Calibri" w:eastAsia="Calibri" w:hAnsi="Calibri" w:cs="Calibri"/>
                <w:b/>
                <w:sz w:val="18"/>
              </w:rPr>
              <w:t>Folder as supplied</w:t>
            </w:r>
          </w:p>
          <w:p/>
        </w:tc>
        <w:tc>
          <w:tcPr>
            <w:tcW w:w="1682" w:type="dxa"/>
            <w:shd w:val="clear" w:color="auto" w:fill="FFFFFF"/>
          </w:tcPr>
          <w:p>
            <w:r>
              <w:rPr>
                <w:rFonts w:ascii="Calibri" w:eastAsia="Calibri" w:hAnsi="Calibri" w:cs="Calibri"/>
                <w:b/>
                <w:sz w:val="18"/>
              </w:rPr>
              <w:t>GEO position</w:t>
            </w:r>
          </w:p>
          <w:p/>
        </w:tc>
        <w:tc>
          <w:tcPr>
            <w:tcW w:w="2056" w:type="dxa"/>
            <w:shd w:val="clear" w:color="auto" w:fill="FFFFFF"/>
          </w:tcPr>
          <w:p>
            <w:r>
              <w:rPr>
                <w:rFonts w:ascii="Calibri" w:eastAsia="Calibri" w:hAnsi="Calibri" w:cs="Calibri"/>
                <w:b/>
                <w:sz w:val="18"/>
              </w:rPr>
              <w:t>True sex</w:t>
            </w:r>
          </w:p>
          <w:p/>
        </w:tc>
        <w:tc>
          <w:tcPr>
            <w:tcW w:w="2430" w:type="dxa"/>
            <w:shd w:val="clear" w:color="auto" w:fill="FFFFFF"/>
          </w:tcPr>
          <w:p>
            <w:r>
              <w:rPr>
                <w:rFonts w:ascii="Calibri" w:eastAsia="Calibri" w:hAnsi="Calibri" w:cs="Calibri"/>
                <w:b/>
                <w:sz w:val="18"/>
              </w:rPr>
              <w:t>True treatment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93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Female_Cocaine_1</w:t>
            </w:r>
          </w:p>
          <w:p/>
        </w:tc>
        <w:tc>
          <w:tcPr>
            <w:tcW w:w="1682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S1</w:t>
            </w:r>
          </w:p>
          <w:p/>
        </w:tc>
        <w:tc>
          <w:tcPr>
            <w:tcW w:w="2056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Female</w:t>
            </w:r>
          </w:p>
          <w:p/>
        </w:tc>
        <w:tc>
          <w:tcPr>
            <w:tcW w:w="2430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Sucrose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93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Female_Cocaine_2</w:t>
            </w:r>
          </w:p>
          <w:p/>
        </w:tc>
        <w:tc>
          <w:tcPr>
            <w:tcW w:w="1682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S2</w:t>
            </w:r>
          </w:p>
          <w:p/>
        </w:tc>
        <w:tc>
          <w:tcPr>
            <w:tcW w:w="2056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Female</w:t>
            </w:r>
          </w:p>
          <w:p/>
        </w:tc>
        <w:tc>
          <w:tcPr>
            <w:tcW w:w="2430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Sucrose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93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Female_Sucrose_1</w:t>
            </w:r>
          </w:p>
          <w:p/>
        </w:tc>
        <w:tc>
          <w:tcPr>
            <w:tcW w:w="1682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S3</w:t>
            </w:r>
          </w:p>
          <w:p/>
        </w:tc>
        <w:tc>
          <w:tcPr>
            <w:tcW w:w="2056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Male</w:t>
            </w:r>
          </w:p>
          <w:p/>
        </w:tc>
        <w:tc>
          <w:tcPr>
            <w:tcW w:w="2430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Sucrose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93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Female_Sucrose_2</w:t>
            </w:r>
          </w:p>
          <w:p/>
        </w:tc>
        <w:tc>
          <w:tcPr>
            <w:tcW w:w="1682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S4</w:t>
            </w:r>
          </w:p>
          <w:p/>
        </w:tc>
        <w:tc>
          <w:tcPr>
            <w:tcW w:w="2056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Male</w:t>
            </w:r>
          </w:p>
          <w:p/>
        </w:tc>
        <w:tc>
          <w:tcPr>
            <w:tcW w:w="2430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Sucrose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93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Male_Cocaine_1</w:t>
            </w:r>
          </w:p>
          <w:p/>
        </w:tc>
        <w:tc>
          <w:tcPr>
            <w:tcW w:w="1682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S5</w:t>
            </w:r>
          </w:p>
          <w:p/>
        </w:tc>
        <w:tc>
          <w:tcPr>
            <w:tcW w:w="2056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Female</w:t>
            </w:r>
          </w:p>
          <w:p/>
        </w:tc>
        <w:tc>
          <w:tcPr>
            <w:tcW w:w="2430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Cocaine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93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Male_Cocaine_2</w:t>
            </w:r>
          </w:p>
          <w:p/>
        </w:tc>
        <w:tc>
          <w:tcPr>
            <w:tcW w:w="1682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S6</w:t>
            </w:r>
          </w:p>
          <w:p/>
        </w:tc>
        <w:tc>
          <w:tcPr>
            <w:tcW w:w="2056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Female</w:t>
            </w:r>
          </w:p>
          <w:p/>
        </w:tc>
        <w:tc>
          <w:tcPr>
            <w:tcW w:w="2430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Cocaine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93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Male_Sucrose_1</w:t>
            </w:r>
          </w:p>
          <w:p/>
        </w:tc>
        <w:tc>
          <w:tcPr>
            <w:tcW w:w="1682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S7</w:t>
            </w:r>
          </w:p>
          <w:p/>
        </w:tc>
        <w:tc>
          <w:tcPr>
            <w:tcW w:w="2056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Male</w:t>
            </w:r>
          </w:p>
          <w:p/>
        </w:tc>
        <w:tc>
          <w:tcPr>
            <w:tcW w:w="2430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Cocaine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93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Male_Sucrose_2</w:t>
            </w:r>
          </w:p>
          <w:p/>
        </w:tc>
        <w:tc>
          <w:tcPr>
            <w:tcW w:w="1682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S8</w:t>
            </w:r>
          </w:p>
          <w:p/>
        </w:tc>
        <w:tc>
          <w:tcPr>
            <w:tcW w:w="2056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Male</w:t>
            </w:r>
          </w:p>
          <w:p/>
        </w:tc>
        <w:tc>
          <w:tcPr>
            <w:tcW w:w="2430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Cocaine</w:t>
            </w:r>
          </w:p>
          <w:p/>
        </w:tc>
      </w:tr>
    </w:tbl>
    <w:p/>
    <w:p/>
    <w:p>
      <w:pPr>
        <w:pStyle w:val="Heading2"/>
      </w:pPr>
      <w:r>
        <w:rPr>
          <w:rFonts w:ascii="Calibri" w:eastAsia="Calibri" w:hAnsi="Calibri" w:cs="Calibri"/>
          <w:b/>
          <w:color w:val="2E5C8A"/>
          <w:sz w:val="24"/>
        </w:rPr>
        <w:t>2.2 Quality control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>Cells with fewer than 300 or more than 2,500 detected genes were removed, following the original study’s criteria, as were cells exceeding 10% mitochondrial reads and genes detected in fewer than five cells.</w:t>
      </w:r>
      <w:r>
        <w:rPr>
          <w:rFonts w:ascii="Calibri" w:eastAsia="Calibri" w:hAnsi="Calibri" w:cs="Calibri"/>
          <w:sz w:val="21"/>
        </w:rPr>
        <w:t xml:space="preserve"> Mitochondrial genes were identified by the </w:t>
      </w:r>
      <w:r>
        <w:rPr>
          <w:rFonts w:ascii="Consolas" w:eastAsia="Consolas" w:hAnsi="Consolas" w:cs="Consolas"/>
          <w:sz w:val="20"/>
        </w:rPr>
        <w:t>mt:</w:t>
      </w:r>
      <w:r>
        <w:rPr>
          <w:rFonts w:ascii="Calibri" w:eastAsia="Calibri" w:hAnsi="Calibri" w:cs="Calibri"/>
          <w:sz w:val="21"/>
        </w:rPr>
        <w:t xml:space="preserve"> prefix and ribosomal genes by </w:t>
      </w:r>
      <w:r>
        <w:rPr>
          <w:rFonts w:ascii="Consolas" w:eastAsia="Consolas" w:hAnsi="Consolas" w:cs="Consolas"/>
          <w:sz w:val="20"/>
        </w:rPr>
        <w:t>RpS</w:t>
      </w:r>
      <w:r>
        <w:rPr>
          <w:rFonts w:ascii="Calibri" w:eastAsia="Calibri" w:hAnsi="Calibri" w:cs="Calibri"/>
          <w:sz w:val="21"/>
        </w:rPr>
        <w:t>/</w:t>
      </w:r>
      <w:r>
        <w:rPr>
          <w:rFonts w:ascii="Consolas" w:eastAsia="Consolas" w:hAnsi="Consolas" w:cs="Consolas"/>
          <w:sz w:val="20"/>
        </w:rPr>
        <w:t>RpL</w:t>
      </w:r>
      <w:r>
        <w:rPr>
          <w:rFonts w:ascii="Calibri" w:eastAsia="Calibri" w:hAnsi="Calibri" w:cs="Calibri"/>
          <w:sz w:val="21"/>
        </w:rPr>
        <w:t>.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 xml:space="preserve">A total of </w:t>
      </w:r>
      <w:r>
        <w:rPr>
          <w:rFonts w:ascii="Calibri" w:eastAsia="Calibri" w:hAnsi="Calibri" w:cs="Calibri"/>
          <w:sz w:val="21"/>
        </w:rPr>
        <w:t>86,177 of 88,991 cells (96.8%) and 12,189 of 17,481 genes were retained.</w:t>
      </w:r>
    </w:p>
    <w:p>
      <w:pPr>
        <w:jc w:val="both"/>
      </w:pPr>
    </w:p>
    <w:p>
      <w:pPr>
        <w:pStyle w:val="Heading2"/>
        <w:jc w:val="both"/>
      </w:pPr>
      <w:r>
        <w:rPr>
          <w:rFonts w:ascii="Calibri" w:eastAsia="Calibri" w:hAnsi="Calibri" w:cs="Calibri"/>
          <w:b/>
          <w:color w:val="2E5C8A"/>
          <w:sz w:val="24"/>
        </w:rPr>
        <w:t>2.3 Normalisation, dimensionality reduction and clustering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 xml:space="preserve">Counts were normalised to 10,000 per cell and log1p-transformed; the log-normalised matrix was retained for differential </w:t>
      </w:r>
      <w:r>
        <w:rPr>
          <w:rFonts w:ascii="Calibri" w:eastAsia="Calibri" w:hAnsi="Calibri" w:cs="Calibri"/>
          <w:sz w:val="21"/>
        </w:rPr>
        <w:t>analysis</w:t>
      </w:r>
      <w:r>
        <w:rPr>
          <w:rFonts w:ascii="Calibri" w:eastAsia="Calibri" w:hAnsi="Calibri" w:cs="Calibri"/>
          <w:sz w:val="21"/>
        </w:rPr>
        <w:t>.</w:t>
      </w:r>
      <w:r>
        <w:rPr>
          <w:rFonts w:ascii="Calibri" w:eastAsia="Calibri" w:hAnsi="Calibri" w:cs="Calibri"/>
          <w:sz w:val="21"/>
        </w:rPr>
        <w:t xml:space="preserve"> Two thousand highly variable genes were selected </w:t>
      </w:r>
      <w:r>
        <w:rPr>
          <w:rFonts w:ascii="Calibri" w:eastAsia="Calibri" w:hAnsi="Calibri" w:cs="Calibri"/>
          <w:sz w:val="21"/>
        </w:rPr>
        <w:t>using</w:t>
      </w:r>
      <w:r>
        <w:rPr>
          <w:rFonts w:ascii="Calibri" w:eastAsia="Calibri" w:hAnsi="Calibri" w:cs="Calibri"/>
          <w:sz w:val="21"/>
        </w:rPr>
        <w:t xml:space="preserve"> per-sample ranking.</w:t>
      </w:r>
      <w:r>
        <w:rPr>
          <w:rFonts w:ascii="Calibri" w:eastAsia="Calibri" w:hAnsi="Calibri" w:cs="Calibri"/>
          <w:sz w:val="21"/>
        </w:rPr>
        <w:t xml:space="preserve"> The matrix was subset to these genes, </w:t>
      </w:r>
      <w:r>
        <w:rPr>
          <w:rFonts w:ascii="Consolas" w:eastAsia="Consolas" w:hAnsi="Consolas" w:cs="Consolas"/>
          <w:sz w:val="20"/>
        </w:rPr>
        <w:t>total_counts</w:t>
      </w:r>
      <w:r>
        <w:rPr>
          <w:rFonts w:ascii="Calibri" w:eastAsia="Calibri" w:hAnsi="Calibri" w:cs="Calibri"/>
          <w:sz w:val="21"/>
        </w:rPr>
        <w:t xml:space="preserve"> and </w:t>
      </w:r>
      <w:r>
        <w:rPr>
          <w:rFonts w:ascii="Consolas" w:eastAsia="Consolas" w:hAnsi="Consolas" w:cs="Consolas"/>
          <w:sz w:val="20"/>
        </w:rPr>
        <w:t>pct_counts_mt</w:t>
      </w:r>
      <w:r>
        <w:rPr>
          <w:rFonts w:ascii="Calibri" w:eastAsia="Calibri" w:hAnsi="Calibri" w:cs="Calibri"/>
          <w:sz w:val="21"/>
        </w:rPr>
        <w:t xml:space="preserve"> were regressed out, and </w:t>
      </w:r>
      <w:r>
        <w:rPr>
          <w:rFonts w:ascii="Calibri" w:eastAsia="Calibri" w:hAnsi="Calibri" w:cs="Calibri"/>
          <w:sz w:val="21"/>
        </w:rPr>
        <w:t xml:space="preserve">the </w:t>
      </w:r>
      <w:r>
        <w:rPr>
          <w:rFonts w:ascii="Calibri" w:eastAsia="Calibri" w:hAnsi="Calibri" w:cs="Calibri"/>
          <w:sz w:val="21"/>
        </w:rPr>
        <w:t xml:space="preserve">values </w:t>
      </w:r>
      <w:r>
        <w:rPr>
          <w:rFonts w:ascii="Calibri" w:eastAsia="Calibri" w:hAnsi="Calibri" w:cs="Calibri"/>
          <w:sz w:val="21"/>
        </w:rPr>
        <w:t xml:space="preserve">were </w:t>
      </w:r>
      <w:r>
        <w:rPr>
          <w:rFonts w:ascii="Calibri" w:eastAsia="Calibri" w:hAnsi="Calibri" w:cs="Calibri"/>
          <w:sz w:val="21"/>
        </w:rPr>
        <w:t>scaled to unit variance with a maximum of 10.</w:t>
      </w:r>
      <w:r>
        <w:rPr>
          <w:rFonts w:ascii="Calibri" w:eastAsia="Calibri" w:hAnsi="Calibri" w:cs="Calibri"/>
          <w:sz w:val="21"/>
        </w:rPr>
        <w:t xml:space="preserve"> Principal component analysis used the ARPACK solver; the first 30 components (16.9% of variance) were used for a 15-nearest-neighbour graph and UMAP.</w:t>
      </w:r>
      <w:r>
        <w:rPr>
          <w:rFonts w:ascii="Calibri" w:eastAsia="Calibri" w:hAnsi="Calibri" w:cs="Calibri"/>
          <w:sz w:val="21"/>
        </w:rPr>
        <w:t xml:space="preserve"> Leiden clustering (Traag et al.</w:t>
      </w:r>
      <w:r>
        <w:rPr>
          <w:rFonts w:ascii="Calibri" w:eastAsia="Calibri" w:hAnsi="Calibri" w:cs="Calibri"/>
          <w:sz w:val="21"/>
        </w:rPr>
        <w:t xml:space="preserve"> 2019) was performed at </w:t>
      </w:r>
      <w:r>
        <w:rPr>
          <w:rFonts w:ascii="Calibri" w:eastAsia="Calibri" w:hAnsi="Calibri" w:cs="Calibri"/>
          <w:sz w:val="21"/>
        </w:rPr>
        <w:t xml:space="preserve">a </w:t>
      </w:r>
      <w:r>
        <w:rPr>
          <w:rFonts w:ascii="Calibri" w:eastAsia="Calibri" w:hAnsi="Calibri" w:cs="Calibri"/>
          <w:sz w:val="21"/>
        </w:rPr>
        <w:t xml:space="preserve">resolution </w:t>
      </w:r>
      <w:r>
        <w:rPr>
          <w:rFonts w:ascii="Calibri" w:eastAsia="Calibri" w:hAnsi="Calibri" w:cs="Calibri"/>
          <w:sz w:val="21"/>
        </w:rPr>
        <w:t xml:space="preserve">of </w:t>
      </w:r>
      <w:r>
        <w:rPr>
          <w:rFonts w:ascii="Calibri" w:eastAsia="Calibri" w:hAnsi="Calibri" w:cs="Calibri"/>
          <w:sz w:val="21"/>
        </w:rPr>
        <w:t>0.8, with a sweep across 0.4–1.4.</w:t>
      </w:r>
      <w:r>
        <w:rPr>
          <w:rFonts w:ascii="Calibri" w:eastAsia="Calibri" w:hAnsi="Calibri" w:cs="Calibri"/>
          <w:sz w:val="21"/>
        </w:rPr>
        <w:t xml:space="preserve"> All stochastic steps used fixed random </w:t>
      </w:r>
      <w:r>
        <w:rPr>
          <w:rFonts w:ascii="Calibri" w:eastAsia="Calibri" w:hAnsi="Calibri" w:cs="Calibri"/>
          <w:sz w:val="21"/>
        </w:rPr>
        <w:t>seeds</w:t>
      </w:r>
      <w:r>
        <w:rPr>
          <w:rFonts w:ascii="Calibri" w:eastAsia="Calibri" w:hAnsi="Calibri" w:cs="Calibri"/>
          <w:sz w:val="21"/>
        </w:rPr>
        <w:t>.</w:t>
      </w:r>
    </w:p>
    <w:p>
      <w:pPr>
        <w:jc w:val="both"/>
      </w:pPr>
    </w:p>
    <w:p>
      <w:pPr>
        <w:pStyle w:val="Heading2"/>
        <w:jc w:val="both"/>
      </w:pPr>
      <w:r>
        <w:rPr>
          <w:rFonts w:ascii="Calibri" w:eastAsia="Calibri" w:hAnsi="Calibri" w:cs="Calibri"/>
          <w:b/>
          <w:color w:val="2E5C8A"/>
          <w:sz w:val="24"/>
        </w:rPr>
        <w:t>2.4 Cell-type annotation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 xml:space="preserve">Cluster markers were identified </w:t>
      </w:r>
      <w:r>
        <w:rPr>
          <w:rFonts w:ascii="Calibri" w:eastAsia="Calibri" w:hAnsi="Calibri" w:cs="Calibri"/>
          <w:sz w:val="21"/>
        </w:rPr>
        <w:t>using the</w:t>
      </w:r>
      <w:r>
        <w:rPr>
          <w:rFonts w:ascii="Calibri" w:eastAsia="Calibri" w:hAnsi="Calibri" w:cs="Calibri"/>
          <w:sz w:val="21"/>
        </w:rPr>
        <w:t xml:space="preserve"> Wilcoxon rank-sum test on log-normalised values.</w:t>
      </w:r>
      <w:r>
        <w:rPr>
          <w:rFonts w:ascii="Calibri" w:eastAsia="Calibri" w:hAnsi="Calibri" w:cs="Calibri"/>
          <w:sz w:val="21"/>
        </w:rPr>
        <w:t xml:space="preserve"> Cell types were assigned using two independent panels: the published top-three markers for each of the original 36 clusters and a canonical </w:t>
      </w:r>
      <w:r>
        <w:rPr>
          <w:rFonts w:ascii="Calibri" w:eastAsia="Calibri" w:hAnsi="Calibri" w:cs="Calibri"/>
          <w:i/>
          <w:sz w:val="21"/>
        </w:rPr>
        <w:t>Drosophila</w:t>
      </w:r>
      <w:r>
        <w:rPr>
          <w:rFonts w:ascii="Calibri" w:eastAsia="Calibri" w:hAnsi="Calibri" w:cs="Calibri"/>
          <w:sz w:val="21"/>
        </w:rPr>
        <w:t xml:space="preserve"> neuronal and glial panel.</w:t>
      </w:r>
      <w:r>
        <w:rPr>
          <w:rFonts w:ascii="Calibri" w:eastAsia="Calibri" w:hAnsi="Calibri" w:cs="Calibri"/>
          <w:sz w:val="21"/>
        </w:rPr>
        <w:t xml:space="preserve"> Where the panels disagreed, </w:t>
      </w:r>
      <w:r>
        <w:rPr>
          <w:rFonts w:ascii="Calibri" w:eastAsia="Calibri" w:hAnsi="Calibri" w:cs="Calibri"/>
          <w:sz w:val="21"/>
        </w:rPr>
        <w:t xml:space="preserve">the </w:t>
      </w:r>
      <w:r>
        <w:rPr>
          <w:rFonts w:ascii="Calibri" w:eastAsia="Calibri" w:hAnsi="Calibri" w:cs="Calibri"/>
          <w:sz w:val="21"/>
        </w:rPr>
        <w:t>clusters were left unannotated.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>Of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 xml:space="preserve">the </w:t>
      </w:r>
      <w:r>
        <w:rPr>
          <w:rFonts w:ascii="Calibri" w:eastAsia="Calibri" w:hAnsi="Calibri" w:cs="Calibri"/>
          <w:sz w:val="21"/>
        </w:rPr>
        <w:t>30 clusters</w:t>
      </w:r>
      <w:r>
        <w:rPr>
          <w:rFonts w:ascii="Calibri" w:eastAsia="Calibri" w:hAnsi="Calibri" w:cs="Calibri"/>
          <w:sz w:val="21"/>
        </w:rPr>
        <w:t>, 24</w:t>
      </w:r>
      <w:r>
        <w:rPr>
          <w:rFonts w:ascii="Calibri" w:eastAsia="Calibri" w:hAnsi="Calibri" w:cs="Calibri"/>
          <w:sz w:val="21"/>
        </w:rPr>
        <w:t xml:space="preserve"> were assigned; 13,526 cells (15.7%) remained unannotated.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 xml:space="preserve">One cluster (n = 3,196) was excluded from </w:t>
      </w:r>
      <w:r>
        <w:rPr>
          <w:rFonts w:ascii="Calibri" w:eastAsia="Calibri" w:hAnsi="Calibri" w:cs="Calibri"/>
          <w:sz w:val="21"/>
        </w:rPr>
        <w:t xml:space="preserve">the </w:t>
      </w:r>
      <w:r>
        <w:rPr>
          <w:rFonts w:ascii="Calibri" w:eastAsia="Calibri" w:hAnsi="Calibri" w:cs="Calibri"/>
          <w:sz w:val="21"/>
        </w:rPr>
        <w:t>differential expression analysis.</w:t>
      </w:r>
      <w:r>
        <w:rPr>
          <w:rFonts w:ascii="Calibri" w:eastAsia="Calibri" w:hAnsi="Calibri" w:cs="Calibri"/>
          <w:sz w:val="21"/>
        </w:rPr>
        <w:t xml:space="preserve"> It showed mixed neuronal and glial markers (repo 0.200, elav 1.06, nSyb 2.19) and a 1.50-fold difference in median detected genes between treatment arms </w:t>
      </w:r>
      <w:r>
        <w:rPr>
          <w:rFonts w:ascii="Calibri" w:eastAsia="Calibri" w:hAnsi="Calibri" w:cs="Calibri"/>
          <w:sz w:val="21"/>
        </w:rPr>
        <w:t>and</w:t>
      </w:r>
      <w:r>
        <w:rPr>
          <w:rFonts w:ascii="Calibri" w:eastAsia="Calibri" w:hAnsi="Calibri" w:cs="Calibri"/>
          <w:sz w:val="21"/>
        </w:rPr>
        <w:t xml:space="preserve"> the largest of any cluster — rendering its 299 differentially expressed genes uninterpretable.</w:t>
      </w:r>
    </w:p>
    <w:p>
      <w:pPr>
        <w:jc w:val="both"/>
      </w:pPr>
    </w:p>
    <w:p>
      <w:pPr>
        <w:pStyle w:val="Heading2"/>
        <w:jc w:val="both"/>
      </w:pPr>
      <w:r>
        <w:rPr>
          <w:rFonts w:ascii="Calibri" w:eastAsia="Calibri" w:hAnsi="Calibri" w:cs="Calibri"/>
          <w:b/>
          <w:color w:val="2E5C8A"/>
          <w:sz w:val="24"/>
        </w:rPr>
        <w:t>2.5 Differential expression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>Cocaine was compared with sucrose by Wilcoxon rank-sum test on log-normalised values with sucrose as reference, so positive log2 fold changes indicate higher expression in cocaine.</w:t>
      </w:r>
      <w:r>
        <w:rPr>
          <w:rFonts w:ascii="Calibri" w:eastAsia="Calibri" w:hAnsi="Calibri" w:cs="Calibri"/>
          <w:sz w:val="21"/>
        </w:rPr>
        <w:t xml:space="preserve"> Genes were called differentially expressed at |log2FC| &gt; 1 and Benjamini–Hochberg-adjusted </w:t>
      </w:r>
      <w:r>
        <w:rPr>
          <w:rFonts w:ascii="Calibri" w:eastAsia="Calibri" w:hAnsi="Calibri" w:cs="Calibri"/>
          <w:i/>
          <w:sz w:val="21"/>
        </w:rPr>
        <w:t>p</w:t>
      </w:r>
      <w:r>
        <w:rPr>
          <w:rFonts w:ascii="Calibri" w:eastAsia="Calibri" w:hAnsi="Calibri" w:cs="Calibri"/>
          <w:sz w:val="21"/>
        </w:rPr>
        <w:t xml:space="preserve"> &lt; 0.05.</w:t>
      </w:r>
      <w:r>
        <w:rPr>
          <w:rFonts w:ascii="Calibri" w:eastAsia="Calibri" w:hAnsi="Calibri" w:cs="Calibri"/>
          <w:sz w:val="21"/>
        </w:rPr>
        <w:t xml:space="preserve"> The original used a natural-log threshold (|ln FC| &gt; 1, equivalent to |log2FC| &gt; 1.443) with Bonferroni correction and the MAST test; gene counts are therefore not directly comparable, and results are reported at both thresholds where relevant.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>Three comparisons were performed: pooled across all cells within each sex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within each cluster and sex separately, excluding clusters with fewer than 20 cells in either arm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and overlap between sexes.</w:t>
      </w:r>
    </w:p>
    <w:p>
      <w:pPr>
        <w:jc w:val="both"/>
      </w:pPr>
    </w:p>
    <w:p>
      <w:pPr>
        <w:pStyle w:val="Heading2"/>
        <w:jc w:val="both"/>
      </w:pPr>
      <w:r>
        <w:rPr>
          <w:rFonts w:ascii="Calibri" w:eastAsia="Calibri" w:hAnsi="Calibri" w:cs="Calibri"/>
          <w:b/>
          <w:color w:val="2E5C8A"/>
          <w:sz w:val="24"/>
        </w:rPr>
        <w:t>2.6 Statistical controls</w:t>
      </w:r>
    </w:p>
    <w:p/>
    <w:p>
      <w:pPr>
        <w:jc w:val="both"/>
      </w:pPr>
      <w:r>
        <w:rPr>
          <w:rFonts w:ascii="Calibri" w:eastAsia="Calibri" w:hAnsi="Calibri" w:cs="Calibri"/>
          <w:b/>
          <w:sz w:val="21"/>
        </w:rPr>
        <w:t>Pseudobulk aggregation.</w:t>
      </w:r>
      <w:r>
        <w:rPr>
          <w:rFonts w:ascii="Calibri" w:eastAsia="Calibri" w:hAnsi="Calibri" w:cs="Calibri"/>
          <w:sz w:val="21"/>
        </w:rPr>
        <w:t xml:space="preserve"> Counts were summed within each sample to </w:t>
      </w:r>
      <w:r>
        <w:rPr>
          <w:rFonts w:ascii="Calibri" w:eastAsia="Calibri" w:hAnsi="Calibri" w:cs="Calibri"/>
          <w:sz w:val="21"/>
        </w:rPr>
        <w:t>obtain</w:t>
      </w:r>
      <w:r>
        <w:rPr>
          <w:rFonts w:ascii="Calibri" w:eastAsia="Calibri" w:hAnsi="Calibri" w:cs="Calibri"/>
          <w:sz w:val="21"/>
        </w:rPr>
        <w:t xml:space="preserve"> one profile per biological replicate, converted to log2 counts per million, and compared by two-sample </w:t>
      </w:r>
      <w:r>
        <w:rPr>
          <w:rFonts w:ascii="Calibri" w:eastAsia="Calibri" w:hAnsi="Calibri" w:cs="Calibri"/>
          <w:i/>
          <w:sz w:val="21"/>
        </w:rPr>
        <w:t>t</w:t>
      </w:r>
      <w:r>
        <w:rPr>
          <w:rFonts w:ascii="Calibri" w:eastAsia="Calibri" w:hAnsi="Calibri" w:cs="Calibri"/>
          <w:sz w:val="21"/>
        </w:rPr>
        <w:t>-test with Benjamini–Hochberg correction (n = 2 per arm).</w:t>
      </w:r>
      <w:r>
        <w:rPr>
          <w:rFonts w:ascii="Calibri" w:eastAsia="Calibri" w:hAnsi="Calibri" w:cs="Calibri"/>
          <w:sz w:val="21"/>
        </w:rPr>
        <w:t xml:space="preserve"> Concordance with the cell-level result was assessed by sign agreement and Spearman </w:t>
      </w:r>
      <w:r>
        <w:rPr>
          <w:rFonts w:ascii="Calibri" w:eastAsia="Calibri" w:hAnsi="Calibri" w:cs="Calibri"/>
          <w:sz w:val="21"/>
        </w:rPr>
        <w:t>’s</w:t>
      </w:r>
      <w:r>
        <w:rPr>
          <w:rFonts w:ascii="Calibri" w:eastAsia="Calibri" w:hAnsi="Calibri" w:cs="Calibri"/>
          <w:sz w:val="21"/>
        </w:rPr>
        <w:t>correlation.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b/>
          <w:sz w:val="21"/>
        </w:rPr>
        <w:t>Interaction model.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>For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 xml:space="preserve">each </w:t>
      </w:r>
      <w:r>
        <w:rPr>
          <w:rFonts w:ascii="Calibri" w:eastAsia="Calibri" w:hAnsi="Calibri" w:cs="Calibri"/>
          <w:sz w:val="21"/>
        </w:rPr>
        <w:t xml:space="preserve">gene, expression was modelled as sex + treatment + sex:treatment by ordinary least squares on pseudobulk profiles using effect coding, and the interaction coefficient </w:t>
      </w:r>
      <w:r>
        <w:rPr>
          <w:rFonts w:ascii="Calibri" w:eastAsia="Calibri" w:hAnsi="Calibri" w:cs="Calibri"/>
          <w:sz w:val="21"/>
        </w:rPr>
        <w:t xml:space="preserve">was </w:t>
      </w:r>
      <w:r>
        <w:rPr>
          <w:rFonts w:ascii="Calibri" w:eastAsia="Calibri" w:hAnsi="Calibri" w:cs="Calibri"/>
          <w:sz w:val="21"/>
        </w:rPr>
        <w:t>tested.</w:t>
      </w:r>
      <w:r>
        <w:rPr>
          <w:rFonts w:ascii="Calibri" w:eastAsia="Calibri" w:hAnsi="Calibri" w:cs="Calibri"/>
          <w:sz w:val="21"/>
        </w:rPr>
        <w:t xml:space="preserve"> This addresses the fact that a gene significant in one per-sex analysis and not the other has not been shown to differ between them (Gelman and Stern 2006).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b/>
          <w:sz w:val="21"/>
        </w:rPr>
        <w:t>Gene-class exclusion.</w:t>
      </w:r>
      <w:r>
        <w:rPr>
          <w:rFonts w:ascii="Calibri" w:eastAsia="Calibri" w:hAnsi="Calibri" w:cs="Calibri"/>
          <w:sz w:val="21"/>
        </w:rPr>
        <w:t xml:space="preserve"> Pooled differential expression was repeated with mitochondrial, </w:t>
      </w:r>
      <w:r>
        <w:rPr>
          <w:rFonts w:ascii="Calibri" w:eastAsia="Calibri" w:hAnsi="Calibri" w:cs="Calibri"/>
          <w:sz w:val="21"/>
        </w:rPr>
        <w:t>respiratory chain</w:t>
      </w:r>
      <w:r>
        <w:rPr>
          <w:rFonts w:ascii="Calibri" w:eastAsia="Calibri" w:hAnsi="Calibri" w:cs="Calibri"/>
          <w:sz w:val="21"/>
        </w:rPr>
        <w:t xml:space="preserve">, </w:t>
      </w:r>
      <w:r>
        <w:rPr>
          <w:rFonts w:ascii="Calibri" w:eastAsia="Calibri" w:hAnsi="Calibri" w:cs="Calibri"/>
          <w:sz w:val="21"/>
        </w:rPr>
        <w:t>and</w:t>
      </w:r>
      <w:r>
        <w:rPr>
          <w:rFonts w:ascii="Calibri" w:eastAsia="Calibri" w:hAnsi="Calibri" w:cs="Calibri"/>
          <w:sz w:val="21"/>
        </w:rPr>
        <w:t xml:space="preserve"> ribosomal genes progressively removed.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b/>
          <w:sz w:val="21"/>
        </w:rPr>
        <w:t>Cluster-size matching.</w:t>
      </w:r>
      <w:r>
        <w:rPr>
          <w:rFonts w:ascii="Calibri" w:eastAsia="Calibri" w:hAnsi="Calibri" w:cs="Calibri"/>
          <w:sz w:val="21"/>
        </w:rPr>
        <w:t xml:space="preserve"> Every cluster was downsampled to 400 cells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and differential expression </w:t>
      </w:r>
      <w:r>
        <w:rPr>
          <w:rFonts w:ascii="Calibri" w:eastAsia="Calibri" w:hAnsi="Calibri" w:cs="Calibri"/>
          <w:sz w:val="21"/>
        </w:rPr>
        <w:t xml:space="preserve">was </w:t>
      </w:r>
      <w:r>
        <w:rPr>
          <w:rFonts w:ascii="Calibri" w:eastAsia="Calibri" w:hAnsi="Calibri" w:cs="Calibri"/>
          <w:sz w:val="21"/>
        </w:rPr>
        <w:t>repeated over three random seeds.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b/>
          <w:sz w:val="21"/>
        </w:rPr>
        <w:t>Permutation control.</w:t>
      </w:r>
      <w:r>
        <w:rPr>
          <w:rFonts w:ascii="Calibri" w:eastAsia="Calibri" w:hAnsi="Calibri" w:cs="Calibri"/>
          <w:sz w:val="21"/>
        </w:rPr>
        <w:t xml:space="preserve"> Within each sex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the four samples permit six 2-versus-2 splits: the true treatment split, its complement, and four </w:t>
      </w:r>
      <w:r>
        <w:rPr>
          <w:rFonts w:ascii="Calibri" w:eastAsia="Calibri" w:hAnsi="Calibri" w:cs="Calibri"/>
          <w:sz w:val="21"/>
        </w:rPr>
        <w:t>cuts</w:t>
      </w:r>
      <w:r>
        <w:rPr>
          <w:rFonts w:ascii="Calibri" w:eastAsia="Calibri" w:hAnsi="Calibri" w:cs="Calibri"/>
          <w:sz w:val="21"/>
        </w:rPr>
        <w:t xml:space="preserve"> across the treatment assignment.</w:t>
      </w:r>
      <w:r>
        <w:rPr>
          <w:rFonts w:ascii="Calibri" w:eastAsia="Calibri" w:hAnsi="Calibri" w:cs="Calibri"/>
          <w:sz w:val="21"/>
        </w:rPr>
        <w:t xml:space="preserve"> Excluding complementary duplicates leaves two independent null contrasts per sex — the replicate axis (both replicate-1 samples versus both replicate-2) and a diagonal pairing.</w:t>
      </w:r>
      <w:r>
        <w:rPr>
          <w:rFonts w:ascii="Calibri" w:eastAsia="Calibri" w:hAnsi="Calibri" w:cs="Calibri"/>
          <w:sz w:val="21"/>
        </w:rPr>
        <w:t xml:space="preserve"> Each was tested with identical cells, </w:t>
      </w:r>
      <w:r>
        <w:rPr>
          <w:rFonts w:ascii="Calibri" w:eastAsia="Calibri" w:hAnsi="Calibri" w:cs="Calibri"/>
          <w:sz w:val="21"/>
        </w:rPr>
        <w:t>tests,</w:t>
      </w:r>
      <w:r>
        <w:rPr>
          <w:rFonts w:ascii="Calibri" w:eastAsia="Calibri" w:hAnsi="Calibri" w:cs="Calibri"/>
          <w:sz w:val="21"/>
        </w:rPr>
        <w:t xml:space="preserve"> and thresholds, providing a background against which the treatment effect could be judged.</w:t>
      </w:r>
    </w:p>
    <w:p>
      <w:pPr>
        <w:jc w:val="both"/>
      </w:pPr>
    </w:p>
    <w:p>
      <w:pPr>
        <w:pStyle w:val="Heading2"/>
        <w:jc w:val="both"/>
      </w:pPr>
      <w:r>
        <w:rPr>
          <w:rFonts w:ascii="Calibri" w:eastAsia="Calibri" w:hAnsi="Calibri" w:cs="Calibri"/>
          <w:b/>
          <w:color w:val="2E5C8A"/>
          <w:sz w:val="24"/>
        </w:rPr>
        <w:t>2.7 Pathway enrichment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 xml:space="preserve">Over-representation analysis used GSEApy against the Enrichr </w:t>
      </w:r>
      <w:r>
        <w:rPr>
          <w:rFonts w:ascii="Calibri" w:eastAsia="Calibri" w:hAnsi="Calibri" w:cs="Calibri"/>
          <w:i/>
          <w:sz w:val="21"/>
        </w:rPr>
        <w:t>Drosophila</w:t>
      </w:r>
      <w:r>
        <w:rPr>
          <w:rFonts w:ascii="Calibri" w:eastAsia="Calibri" w:hAnsi="Calibri" w:cs="Calibri"/>
          <w:sz w:val="21"/>
        </w:rPr>
        <w:t xml:space="preserve"> libraries (GO Biological Process 2018, GO Molecular Function 2018, KEGG 2019).</w:t>
      </w:r>
      <w:r>
        <w:rPr>
          <w:rFonts w:ascii="Calibri" w:eastAsia="Calibri" w:hAnsi="Calibri" w:cs="Calibri"/>
          <w:sz w:val="21"/>
        </w:rPr>
        <w:t xml:space="preserve"> Up- and down-regulated genes were tested separately, up to 150 genes per list.</w:t>
      </w:r>
      <w:r>
        <w:rPr>
          <w:rFonts w:ascii="Calibri" w:eastAsia="Calibri" w:hAnsi="Calibri" w:cs="Calibri"/>
          <w:sz w:val="21"/>
        </w:rPr>
        <w:t xml:space="preserve"> Enrichr tests against all annotated fly genes, whereas the differential expression test could only detect brain-expressed genes surviving quality control; </w:t>
      </w:r>
      <w:r>
        <w:rPr>
          <w:rFonts w:ascii="Calibri" w:eastAsia="Calibri" w:hAnsi="Calibri" w:cs="Calibri"/>
          <w:sz w:val="21"/>
        </w:rPr>
        <w:t>therefore, adjusted p-values are</w:t>
      </w:r>
      <w:r>
        <w:rPr>
          <w:rFonts w:ascii="Calibri" w:eastAsia="Calibri" w:hAnsi="Calibri" w:cs="Calibri"/>
          <w:sz w:val="21"/>
        </w:rPr>
        <w:t xml:space="preserve"> optimistic for brain-expressed terms.</w:t>
      </w:r>
    </w:p>
    <w:p>
      <w:pPr>
        <w:jc w:val="both"/>
      </w:pPr>
    </w:p>
    <w:p>
      <w:pPr>
        <w:pStyle w:val="Heading2"/>
        <w:jc w:val="both"/>
      </w:pPr>
      <w:r>
        <w:rPr>
          <w:rFonts w:ascii="Calibri" w:eastAsia="Calibri" w:hAnsi="Calibri" w:cs="Calibri"/>
          <w:b/>
          <w:color w:val="2E5C8A"/>
          <w:sz w:val="24"/>
        </w:rPr>
        <w:t>2.8 Software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>Python 3.11.15 with scanpy 1.11.5 (Wolf et al.</w:t>
      </w:r>
      <w:r>
        <w:rPr>
          <w:rFonts w:ascii="Calibri" w:eastAsia="Calibri" w:hAnsi="Calibri" w:cs="Calibri"/>
          <w:sz w:val="21"/>
        </w:rPr>
        <w:t xml:space="preserve"> 2018), anndata 0.12.19, numpy 2.4.6, pandas 2.3.3, scipy 1.17.1, scikit-learn 1.9.1, statsmodels, python-igraph 1.0.0, leidenalg 0.12.0, umap-learn 0.5.12, gseapy 1.3.1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and matplotlib 3.11.2.</w:t>
      </w:r>
      <w:r>
        <w:rPr>
          <w:rFonts w:ascii="Calibri" w:eastAsia="Calibri" w:hAnsi="Calibri" w:cs="Calibri"/>
          <w:sz w:val="21"/>
        </w:rPr>
        <w:t xml:space="preserve"> The environment was managed with uv; a complete lockfile and all analysis code </w:t>
      </w:r>
      <w:r>
        <w:rPr>
          <w:rFonts w:ascii="Calibri" w:eastAsia="Calibri" w:hAnsi="Calibri" w:cs="Calibri"/>
          <w:sz w:val="21"/>
        </w:rPr>
        <w:t xml:space="preserve">are included in </w:t>
      </w:r>
      <w:r>
        <w:rPr>
          <w:rFonts w:ascii="Calibri" w:eastAsia="Calibri" w:hAnsi="Calibri" w:cs="Calibri"/>
          <w:sz w:val="21"/>
        </w:rPr>
        <w:t>this report.</w:t>
      </w:r>
    </w:p>
    <w:p>
      <w:pPr>
        <w:jc w:val="both"/>
      </w:pPr>
    </w:p>
    <w:p>
      <w:pPr>
        <w:pStyle w:val="Heading2"/>
        <w:jc w:val="both"/>
      </w:pPr>
      <w:r>
        <w:rPr>
          <w:rFonts w:ascii="Calibri" w:eastAsia="Calibri" w:hAnsi="Calibri" w:cs="Calibri"/>
          <w:b/>
          <w:color w:val="2E5C8A"/>
          <w:sz w:val="24"/>
        </w:rPr>
        <w:t>2.9 Workflow overview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>The complete analysis is summarised in Figure 1.</w:t>
      </w:r>
      <w:r>
        <w:rPr>
          <w:rFonts w:ascii="Calibri" w:eastAsia="Calibri" w:hAnsi="Calibri" w:cs="Calibri"/>
          <w:sz w:val="21"/>
        </w:rPr>
        <w:t xml:space="preserve"> Bracketed numbers correspond to the numbered scripts in the accompanying repository</w:t>
      </w:r>
      <w:r>
        <w:rPr>
          <w:rFonts w:ascii="Calibri" w:eastAsia="Calibri" w:hAnsi="Calibri" w:cs="Calibri"/>
          <w:sz w:val="21"/>
        </w:rPr>
        <w:t>; therefore,</w:t>
      </w:r>
      <w:r>
        <w:rPr>
          <w:rFonts w:ascii="Calibri" w:eastAsia="Calibri" w:hAnsi="Calibri" w:cs="Calibri"/>
          <w:sz w:val="21"/>
        </w:rPr>
        <w:t xml:space="preserve"> every result in Section 3 can be traced to the step that produced it.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6640003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64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Figure 1. </w:t>
      </w:r>
      <w:r>
        <w:rPr>
          <w:rFonts w:ascii="Calibri" w:eastAsia="Calibri" w:hAnsi="Calibri" w:cs="Calibri"/>
          <w:sz w:val="18"/>
        </w:rPr>
        <w:t xml:space="preserve">Analysis workflow. The upper column </w:t>
      </w:r>
      <w:r>
        <w:rPr>
          <w:rFonts w:ascii="Calibri" w:eastAsia="Calibri" w:hAnsi="Calibri" w:cs="Calibri"/>
          <w:sz w:val="18"/>
        </w:rPr>
        <w:t>shows</w:t>
      </w:r>
      <w:r>
        <w:rPr>
          <w:rFonts w:ascii="Calibri" w:eastAsia="Calibri" w:hAnsi="Calibri" w:cs="Calibri"/>
          <w:sz w:val="18"/>
        </w:rPr>
        <w:t xml:space="preserve"> the processing pipeline; the lower panel lists the five statistical controls applied to the differential expression results, each with the question it answers, its outcome, and the figure reporting it.</w:t>
      </w:r>
      <w:r>
        <w:rPr>
          <w:rFonts w:ascii="Calibri" w:eastAsia="Calibri" w:hAnsi="Calibri" w:cs="Calibri"/>
          <w:sz w:val="18"/>
        </w:rPr>
        <w:t xml:space="preserve"> Green indicates a control the result passed; amber indicates one it did not.</w:t>
      </w:r>
    </w:p>
    <w:p>
      <w:pPr>
        <w:jc w:val="left"/>
      </w:pPr>
    </w:p>
    <w:p>
      <w:pPr>
        <w:pStyle w:val="Heading1"/>
        <w:jc w:val="left"/>
      </w:pPr>
      <w:r>
        <w:rPr>
          <w:rFonts w:ascii="Calibri" w:eastAsia="Calibri" w:hAnsi="Calibri" w:cs="Calibri"/>
          <w:b/>
          <w:color w:val="1F3864"/>
          <w:sz w:val="30"/>
        </w:rPr>
        <w:t>3. Results</w:t>
      </w:r>
    </w:p>
    <w:p/>
    <w:p>
      <w:pPr>
        <w:pStyle w:val="Heading2"/>
      </w:pPr>
      <w:r>
        <w:rPr>
          <w:rFonts w:ascii="Calibri" w:eastAsia="Calibri" w:hAnsi="Calibri" w:cs="Calibri"/>
          <w:b/>
          <w:color w:val="2E5C8A"/>
          <w:sz w:val="24"/>
        </w:rPr>
        <w:t>3.1 Quality control reproduces the published cell count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>After filtering, 86,177 cells were retained from 88,991 (96.8%), against the 86,224 reported by Baker et al.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a difference of 47 cells (0.05%).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>The gene</w:t>
      </w:r>
      <w:r>
        <w:rPr>
          <w:rFonts w:ascii="Calibri" w:eastAsia="Calibri" w:hAnsi="Calibri" w:cs="Calibri"/>
          <w:sz w:val="21"/>
        </w:rPr>
        <w:t xml:space="preserve"> count fell from 17,481 to 12,189.</w:t>
      </w:r>
      <w:r>
        <w:rPr>
          <w:rFonts w:ascii="Calibri" w:eastAsia="Calibri" w:hAnsi="Calibri" w:cs="Calibri"/>
          <w:sz w:val="21"/>
        </w:rPr>
        <w:t xml:space="preserve"> The close agreement indicates that the filtering criteria and input data were correctly identified.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>Sequencing depth varied approximately two-fold between samples (median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675–1,195 genes per cell).</w:t>
      </w:r>
      <w:r>
        <w:rPr>
          <w:rFonts w:ascii="Calibri" w:eastAsia="Calibri" w:hAnsi="Calibri" w:cs="Calibri"/>
          <w:sz w:val="21"/>
        </w:rPr>
        <w:t xml:space="preserve"> Depth was not confounded with treatment</w:t>
      </w:r>
      <w:r>
        <w:rPr>
          <w:rFonts w:ascii="Calibri" w:eastAsia="Calibri" w:hAnsi="Calibri" w:cs="Calibri"/>
          <w:sz w:val="21"/>
        </w:rPr>
        <w:t>;</w:t>
      </w:r>
      <w:r>
        <w:rPr>
          <w:rFonts w:ascii="Calibri" w:eastAsia="Calibri" w:hAnsi="Calibri" w:cs="Calibri"/>
          <w:sz w:val="21"/>
        </w:rPr>
        <w:t xml:space="preserve"> within each sex, one deeper and one shallower replicate fell in each arm.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b/>
          <w:sz w:val="21"/>
        </w:rPr>
        <w:t>The mitochondrial</w:t>
      </w:r>
      <w:r>
        <w:rPr>
          <w:rFonts w:ascii="Calibri" w:eastAsia="Calibri" w:hAnsi="Calibri" w:cs="Calibri"/>
          <w:b/>
          <w:sz w:val="21"/>
        </w:rPr>
        <w:t xml:space="preserve"> fraction differed systematically between treatment arms in males but not </w:t>
      </w:r>
      <w:r>
        <w:rPr>
          <w:rFonts w:ascii="Calibri" w:eastAsia="Calibri" w:hAnsi="Calibri" w:cs="Calibri"/>
          <w:b/>
          <w:sz w:val="21"/>
        </w:rPr>
        <w:t xml:space="preserve">in </w:t>
      </w:r>
      <w:r>
        <w:rPr>
          <w:rFonts w:ascii="Calibri" w:eastAsia="Calibri" w:hAnsi="Calibri" w:cs="Calibri"/>
          <w:b/>
          <w:sz w:val="21"/>
        </w:rPr>
        <w:t>females.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>The median</w:t>
      </w:r>
      <w:r>
        <w:rPr>
          <w:rFonts w:ascii="Calibri" w:eastAsia="Calibri" w:hAnsi="Calibri" w:cs="Calibri"/>
          <w:sz w:val="21"/>
        </w:rPr>
        <w:t xml:space="preserve"> mitochondrial percentage was 0.373% in male cocaine samples against 0.058% in male sucrose — a 6.4-fold difference — while </w:t>
      </w:r>
      <w:r>
        <w:rPr>
          <w:rFonts w:ascii="Calibri" w:eastAsia="Calibri" w:hAnsi="Calibri" w:cs="Calibri"/>
          <w:sz w:val="21"/>
        </w:rPr>
        <w:t xml:space="preserve">the </w:t>
      </w:r>
      <w:r>
        <w:rPr>
          <w:rFonts w:ascii="Calibri" w:eastAsia="Calibri" w:hAnsi="Calibri" w:cs="Calibri"/>
          <w:sz w:val="21"/>
        </w:rPr>
        <w:t>female values were 0.260% and 0.267%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respectively.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1519112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51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Figure 2. </w:t>
      </w:r>
      <w:r>
        <w:rPr>
          <w:rFonts w:ascii="Calibri" w:eastAsia="Calibri" w:hAnsi="Calibri" w:cs="Calibri"/>
          <w:sz w:val="18"/>
        </w:rPr>
        <w:t>Quality-control metrics per sample before filtering (88,991 cells).</w:t>
      </w:r>
      <w:r>
        <w:rPr>
          <w:rFonts w:ascii="Calibri" w:eastAsia="Calibri" w:hAnsi="Calibri" w:cs="Calibri"/>
          <w:sz w:val="18"/>
        </w:rPr>
        <w:t xml:space="preserve"> Violins show the distribution per sample, coloured by treatment; black bars mark the interquartile range</w:t>
      </w:r>
      <w:r>
        <w:rPr>
          <w:rFonts w:ascii="Calibri" w:eastAsia="Calibri" w:hAnsi="Calibri" w:cs="Calibri"/>
          <w:sz w:val="18"/>
        </w:rPr>
        <w:t>,</w:t>
      </w:r>
      <w:r>
        <w:rPr>
          <w:rFonts w:ascii="Calibri" w:eastAsia="Calibri" w:hAnsi="Calibri" w:cs="Calibri"/>
          <w:sz w:val="18"/>
        </w:rPr>
        <w:t xml:space="preserve"> and white points the median.</w:t>
      </w:r>
      <w:r>
        <w:rPr>
          <w:rFonts w:ascii="Calibri" w:eastAsia="Calibri" w:hAnsi="Calibri" w:cs="Calibri"/>
          <w:sz w:val="18"/>
        </w:rPr>
        <w:t xml:space="preserve"> Dashed lines indicate filter thresholds.</w:t>
      </w:r>
      <w:r>
        <w:rPr>
          <w:rFonts w:ascii="Calibri" w:eastAsia="Calibri" w:hAnsi="Calibri" w:cs="Calibri"/>
          <w:sz w:val="18"/>
        </w:rPr>
        <w:t xml:space="preserve"> Panel 3 shows the male-specific difference in mitochondrial content between treatment arms; note </w:t>
      </w:r>
      <w:r>
        <w:rPr>
          <w:rFonts w:ascii="Calibri" w:eastAsia="Calibri" w:hAnsi="Calibri" w:cs="Calibri"/>
          <w:sz w:val="18"/>
        </w:rPr>
        <w:t xml:space="preserve">that </w:t>
      </w:r>
      <w:r>
        <w:rPr>
          <w:rFonts w:ascii="Calibri" w:eastAsia="Calibri" w:hAnsi="Calibri" w:cs="Calibri"/>
          <w:sz w:val="18"/>
        </w:rPr>
        <w:t>the y-axis is capped at 15% to make the bulk of the distribution visible.</w:t>
      </w:r>
    </w:p>
    <w:p>
      <w:pPr>
        <w:jc w:val="left"/>
      </w:pPr>
    </w:p>
    <w:p>
      <w:pPr>
        <w:pStyle w:val="Heading2"/>
        <w:jc w:val="left"/>
      </w:pPr>
      <w:r>
        <w:rPr>
          <w:rFonts w:ascii="Calibri" w:eastAsia="Calibri" w:hAnsi="Calibri" w:cs="Calibri"/>
          <w:b/>
          <w:color w:val="2E5C8A"/>
          <w:sz w:val="24"/>
        </w:rPr>
        <w:t>3.2 Clustering recovers 30 populations; 24 were assignable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>Leiden clustering at resolution 0.8 yielded 30 clusters against 36 reported.</w:t>
      </w:r>
      <w:r>
        <w:rPr>
          <w:rFonts w:ascii="Calibri" w:eastAsia="Calibri" w:hAnsi="Calibri" w:cs="Calibri"/>
          <w:sz w:val="21"/>
        </w:rPr>
        <w:t xml:space="preserve"> A resolution sweep gave a monotonic increase (19, 24, 30, 33, 34, 37 at resolutions 0.4 to 1.4), reaching 36 at approximately 1.33.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b/>
          <w:sz w:val="21"/>
        </w:rPr>
        <w:t>The published stability argument — that cluster count plateaus at resolution 0.8 — was not reproduced;</w:t>
      </w:r>
      <w:r>
        <w:rPr>
          <w:rFonts w:ascii="Calibri" w:eastAsia="Calibri" w:hAnsi="Calibri" w:cs="Calibri"/>
          <w:sz w:val="21"/>
        </w:rPr>
        <w:t xml:space="preserve"> cluster number rose steadily across the range tested.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 xml:space="preserve">The embedding </w:t>
      </w:r>
      <w:r>
        <w:rPr>
          <w:rFonts w:ascii="Calibri" w:eastAsia="Calibri" w:hAnsi="Calibri" w:cs="Calibri"/>
          <w:sz w:val="21"/>
        </w:rPr>
        <w:t>was</w:t>
      </w:r>
      <w:r>
        <w:rPr>
          <w:rFonts w:ascii="Calibri" w:eastAsia="Calibri" w:hAnsi="Calibri" w:cs="Calibri"/>
          <w:sz w:val="21"/>
        </w:rPr>
        <w:t xml:space="preserve"> not driven by batch, sex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or treatment.</w:t>
      </w:r>
      <w:r>
        <w:rPr>
          <w:rFonts w:ascii="Calibri" w:eastAsia="Calibri" w:hAnsi="Calibri" w:cs="Calibri"/>
          <w:sz w:val="21"/>
        </w:rPr>
        <w:t xml:space="preserve"> Only one of </w:t>
      </w:r>
      <w:r>
        <w:rPr>
          <w:rFonts w:ascii="Calibri" w:eastAsia="Calibri" w:hAnsi="Calibri" w:cs="Calibri"/>
          <w:sz w:val="21"/>
        </w:rPr>
        <w:t xml:space="preserve">the </w:t>
      </w:r>
      <w:r>
        <w:rPr>
          <w:rFonts w:ascii="Calibri" w:eastAsia="Calibri" w:hAnsi="Calibri" w:cs="Calibri"/>
          <w:sz w:val="21"/>
        </w:rPr>
        <w:t>30 clusters exceeded 30% composition from a single sample (34.3%, against 12.5% expected under even mixing), and that cluster was shown to be a genuine female-biased population rather than a batch artefact: it remained 74.5% female among depth-matched cells against a 56.4% background.</w:t>
      </w:r>
      <w:r>
        <w:rPr>
          <w:rFonts w:ascii="Calibri" w:eastAsia="Calibri" w:hAnsi="Calibri" w:cs="Calibri"/>
          <w:sz w:val="21"/>
        </w:rPr>
        <w:t xml:space="preserve"> Treatment composition was tight (overall 51.8%; maximum 68.7%); sex composition ranged from 22.2% to 71% (overall 49.2%).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4156504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15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Figure 3. </w:t>
      </w:r>
      <w:r>
        <w:rPr>
          <w:rFonts w:ascii="Calibri" w:eastAsia="Calibri" w:hAnsi="Calibri" w:cs="Calibri"/>
          <w:sz w:val="18"/>
        </w:rPr>
        <w:t>UMAP embedding of 86,177 cells coloured by Leiden cluster (resolution 0.8, 30 clusters).</w:t>
      </w:r>
      <w:r>
        <w:rPr>
          <w:rFonts w:ascii="Calibri" w:eastAsia="Calibri" w:hAnsi="Calibri" w:cs="Calibri"/>
          <w:sz w:val="18"/>
        </w:rPr>
        <w:t xml:space="preserve"> Numbers mark cluster centroids. Radiating filamentous structures reflect low-depth cells and are a known artefact of UMAP embedding rather than biological structure.</w:t>
      </w:r>
    </w:p>
    <w:p>
      <w:pPr>
        <w:jc w:val="left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3344971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34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Figure 4. </w:t>
      </w:r>
      <w:r>
        <w:rPr>
          <w:rFonts w:ascii="Calibri" w:eastAsia="Calibri" w:hAnsi="Calibri" w:cs="Calibri"/>
          <w:sz w:val="18"/>
        </w:rPr>
        <w:t xml:space="preserve">Cluster number as a function of </w:t>
      </w:r>
      <w:r>
        <w:rPr>
          <w:rFonts w:ascii="Calibri" w:eastAsia="Calibri" w:hAnsi="Calibri" w:cs="Calibri"/>
          <w:sz w:val="18"/>
        </w:rPr>
        <w:t xml:space="preserve">the </w:t>
      </w:r>
      <w:r>
        <w:rPr>
          <w:rFonts w:ascii="Calibri" w:eastAsia="Calibri" w:hAnsi="Calibri" w:cs="Calibri"/>
          <w:sz w:val="18"/>
        </w:rPr>
        <w:t>Leiden resolution.</w:t>
      </w:r>
      <w:r>
        <w:rPr>
          <w:rFonts w:ascii="Calibri" w:eastAsia="Calibri" w:hAnsi="Calibri" w:cs="Calibri"/>
          <w:sz w:val="18"/>
        </w:rPr>
        <w:t xml:space="preserve"> The count </w:t>
      </w:r>
      <w:r>
        <w:rPr>
          <w:rFonts w:ascii="Calibri" w:eastAsia="Calibri" w:hAnsi="Calibri" w:cs="Calibri"/>
          <w:sz w:val="18"/>
        </w:rPr>
        <w:t>increases</w:t>
      </w:r>
      <w:r>
        <w:rPr>
          <w:rFonts w:ascii="Calibri" w:eastAsia="Calibri" w:hAnsi="Calibri" w:cs="Calibri"/>
          <w:sz w:val="18"/>
        </w:rPr>
        <w:t xml:space="preserve"> monotonically with no plateau at the resolution used </w:t>
      </w:r>
      <w:r>
        <w:rPr>
          <w:rFonts w:ascii="Calibri" w:eastAsia="Calibri" w:hAnsi="Calibri" w:cs="Calibri"/>
          <w:sz w:val="18"/>
        </w:rPr>
        <w:t>in</w:t>
      </w:r>
      <w:r>
        <w:rPr>
          <w:rFonts w:ascii="Calibri" w:eastAsia="Calibri" w:hAnsi="Calibri" w:cs="Calibri"/>
          <w:sz w:val="18"/>
        </w:rPr>
        <w:t xml:space="preserve"> the original study (dotted line); 36 clusters are reached at </w:t>
      </w:r>
      <w:r>
        <w:rPr>
          <w:rFonts w:ascii="Calibri" w:eastAsia="Calibri" w:hAnsi="Calibri" w:cs="Calibri"/>
          <w:sz w:val="18"/>
        </w:rPr>
        <w:t xml:space="preserve">a resolution of approximately </w:t>
      </w:r>
      <w:r>
        <w:rPr>
          <w:rFonts w:ascii="Calibri" w:eastAsia="Calibri" w:hAnsi="Calibri" w:cs="Calibri"/>
          <w:sz w:val="18"/>
        </w:rPr>
        <w:t>1.33.</w:t>
      </w:r>
    </w:p>
    <w:p>
      <w:pPr>
        <w:jc w:val="left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1711492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71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Figure 5. </w:t>
      </w:r>
      <w:r>
        <w:rPr>
          <w:rFonts w:ascii="Calibri" w:eastAsia="Calibri" w:hAnsi="Calibri" w:cs="Calibri"/>
          <w:sz w:val="18"/>
        </w:rPr>
        <w:t>Sample composition of each cluster.</w:t>
      </w:r>
      <w:r>
        <w:rPr>
          <w:rFonts w:ascii="Calibri" w:eastAsia="Calibri" w:hAnsi="Calibri" w:cs="Calibri"/>
          <w:sz w:val="18"/>
        </w:rPr>
        <w:t xml:space="preserve"> The dashed line marks 12.5%, the </w:t>
      </w:r>
      <w:r>
        <w:rPr>
          <w:rFonts w:ascii="Calibri" w:eastAsia="Calibri" w:hAnsi="Calibri" w:cs="Calibri"/>
          <w:sz w:val="18"/>
        </w:rPr>
        <w:t>expected value</w:t>
      </w:r>
      <w:r>
        <w:rPr>
          <w:rFonts w:ascii="Calibri" w:eastAsia="Calibri" w:hAnsi="Calibri" w:cs="Calibri"/>
          <w:sz w:val="18"/>
        </w:rPr>
        <w:t xml:space="preserve"> under even mixing of eight samples.</w:t>
      </w:r>
      <w:r>
        <w:rPr>
          <w:rFonts w:ascii="Calibri" w:eastAsia="Calibri" w:hAnsi="Calibri" w:cs="Calibri"/>
          <w:sz w:val="18"/>
        </w:rPr>
        <w:t xml:space="preserve"> Only cluster 11 exceeds 30% from a single sample.</w:t>
      </w:r>
    </w:p>
    <w:p>
      <w:pPr>
        <w:jc w:val="left"/>
      </w:pPr>
    </w:p>
    <w:p>
      <w:pPr>
        <w:jc w:val="both"/>
      </w:pPr>
      <w:r>
        <w:rPr>
          <w:rFonts w:ascii="Calibri" w:eastAsia="Calibri" w:hAnsi="Calibri" w:cs="Calibri"/>
          <w:sz w:val="21"/>
        </w:rPr>
        <w:t>Twenty-four clusters received cell-type labels; six were left unannotated (13,526 cells, 15.7%).</w:t>
      </w:r>
      <w:r>
        <w:rPr>
          <w:rFonts w:ascii="Calibri" w:eastAsia="Calibri" w:hAnsi="Calibri" w:cs="Calibri"/>
          <w:sz w:val="21"/>
        </w:rPr>
        <w:t xml:space="preserve"> Four assignments matching the </w:t>
      </w:r>
      <w:r>
        <w:rPr>
          <w:rFonts w:ascii="Calibri" w:eastAsia="Calibri" w:hAnsi="Calibri" w:cs="Calibri"/>
          <w:sz w:val="21"/>
        </w:rPr>
        <w:t xml:space="preserve">strongest responders in the paper </w:t>
      </w:r>
      <w:r>
        <w:rPr>
          <w:rFonts w:ascii="Calibri" w:eastAsia="Calibri" w:hAnsi="Calibri" w:cs="Calibri"/>
          <w:sz w:val="21"/>
        </w:rPr>
        <w:t>were verified against both marker panels.</w:t>
      </w:r>
    </w:p>
    <w:p>
      <w:pPr>
        <w:jc w:val="both"/>
      </w:pPr>
    </w:p>
    <w:p>
      <w:r>
        <w:rPr>
          <w:rFonts w:ascii="Calibri" w:eastAsia="Calibri" w:hAnsi="Calibri" w:cs="Calibri"/>
          <w:b/>
          <w:sz w:val="18"/>
        </w:rPr>
        <w:t xml:space="preserve">Table 2. </w:t>
      </w:r>
      <w:r>
        <w:rPr>
          <w:rFonts w:ascii="Calibri" w:eastAsia="Calibri" w:hAnsi="Calibri" w:cs="Calibri"/>
          <w:sz w:val="18"/>
        </w:rPr>
        <w:t xml:space="preserve">Correspondence between the </w:t>
      </w:r>
      <w:r>
        <w:rPr>
          <w:rFonts w:ascii="Calibri" w:eastAsia="Calibri" w:hAnsi="Calibri" w:cs="Calibri"/>
          <w:sz w:val="18"/>
        </w:rPr>
        <w:t>strongest responding</w:t>
      </w:r>
      <w:r>
        <w:rPr>
          <w:rFonts w:ascii="Calibri" w:eastAsia="Calibri" w:hAnsi="Calibri" w:cs="Calibri"/>
          <w:sz w:val="18"/>
        </w:rPr>
        <w:t xml:space="preserve"> clusters and those identified here, matched by marker gene rather than cluster number.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495"/>
        <w:gridCol w:w="3193"/>
        <w:gridCol w:w="2056"/>
        <w:gridCol w:w="2616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495" w:type="dxa"/>
            <w:shd w:val="clear" w:color="auto" w:fill="FFFFFF"/>
          </w:tcPr>
          <w:p>
            <w:r>
              <w:rPr>
                <w:rFonts w:ascii="Calibri" w:eastAsia="Calibri" w:hAnsi="Calibri" w:cs="Calibri"/>
                <w:b/>
                <w:sz w:val="18"/>
              </w:rPr>
              <w:t>Paper cluster</w:t>
            </w:r>
          </w:p>
          <w:p/>
        </w:tc>
        <w:tc>
          <w:tcPr>
            <w:tcW w:w="3193" w:type="dxa"/>
            <w:shd w:val="clear" w:color="auto" w:fill="FFFFFF"/>
          </w:tcPr>
          <w:p>
            <w:r>
              <w:rPr>
                <w:rFonts w:ascii="Calibri" w:eastAsia="Calibri" w:hAnsi="Calibri" w:cs="Calibri"/>
                <w:b/>
                <w:sz w:val="18"/>
              </w:rPr>
              <w:t>Cell type</w:t>
            </w:r>
          </w:p>
          <w:p/>
        </w:tc>
        <w:tc>
          <w:tcPr>
            <w:tcW w:w="2056" w:type="dxa"/>
            <w:shd w:val="clear" w:color="auto" w:fill="FFFFFF"/>
          </w:tcPr>
          <w:p>
            <w:r>
              <w:rPr>
                <w:rFonts w:ascii="Calibri" w:eastAsia="Calibri" w:hAnsi="Calibri" w:cs="Calibri"/>
                <w:b/>
                <w:sz w:val="18"/>
              </w:rPr>
              <w:t>This study</w:t>
            </w:r>
          </w:p>
          <w:p/>
        </w:tc>
        <w:tc>
          <w:tcPr>
            <w:tcW w:w="2616" w:type="dxa"/>
            <w:shd w:val="clear" w:color="auto" w:fill="FFFFFF"/>
          </w:tcPr>
          <w:p>
            <w:r>
              <w:rPr>
                <w:rFonts w:ascii="Calibri" w:eastAsia="Calibri" w:hAnsi="Calibri" w:cs="Calibri"/>
                <w:b/>
                <w:sz w:val="18"/>
              </w:rPr>
              <w:t>Panel score vs. next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495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C11</w:t>
            </w:r>
          </w:p>
          <w:p/>
        </w:tc>
        <w:tc>
          <w:tcPr>
            <w:tcW w:w="3193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Kenyon cells</w:t>
            </w:r>
          </w:p>
          <w:p/>
        </w:tc>
        <w:tc>
          <w:tcPr>
            <w:tcW w:w="2056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cluster 12</w:t>
            </w:r>
          </w:p>
          <w:p/>
        </w:tc>
        <w:tc>
          <w:tcPr>
            <w:tcW w:w="2616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2.44 vs 2.07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495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C16</w:t>
            </w:r>
          </w:p>
          <w:p/>
        </w:tc>
        <w:tc>
          <w:tcPr>
            <w:tcW w:w="3193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Unannotated (antennal/optic lobe)</w:t>
            </w:r>
          </w:p>
          <w:p/>
        </w:tc>
        <w:tc>
          <w:tcPr>
            <w:tcW w:w="2056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cluster 15</w:t>
            </w:r>
          </w:p>
          <w:p/>
        </w:tc>
        <w:tc>
          <w:tcPr>
            <w:tcW w:w="2616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2.74 vs 0.96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495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C22</w:t>
            </w:r>
          </w:p>
          <w:p/>
        </w:tc>
        <w:tc>
          <w:tcPr>
            <w:tcW w:w="3193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Surface glia and fat body</w:t>
            </w:r>
          </w:p>
          <w:p/>
        </w:tc>
        <w:tc>
          <w:tcPr>
            <w:tcW w:w="2056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cluster 25</w:t>
            </w:r>
          </w:p>
          <w:p/>
        </w:tc>
        <w:tc>
          <w:tcPr>
            <w:tcW w:w="2616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2.94 vs 0.96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495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C17</w:t>
            </w:r>
          </w:p>
          <w:p/>
        </w:tc>
        <w:tc>
          <w:tcPr>
            <w:tcW w:w="3193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Astrocytes</w:t>
            </w:r>
          </w:p>
          <w:p/>
        </w:tc>
        <w:tc>
          <w:tcPr>
            <w:tcW w:w="2056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not identified</w:t>
            </w:r>
          </w:p>
          <w:p/>
        </w:tc>
        <w:tc>
          <w:tcPr>
            <w:tcW w:w="2616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—</w:t>
            </w:r>
          </w:p>
          <w:p/>
        </w:tc>
      </w:tr>
    </w:tbl>
    <w:p/>
    <w:p/>
    <w:p>
      <w:pPr>
        <w:jc w:val="both"/>
      </w:pPr>
      <w:r>
        <w:rPr>
          <w:rFonts w:ascii="Calibri" w:eastAsia="Calibri" w:hAnsi="Calibri" w:cs="Calibri"/>
          <w:sz w:val="21"/>
        </w:rPr>
        <w:t xml:space="preserve">The </w:t>
      </w:r>
      <w:r>
        <w:rPr>
          <w:rFonts w:ascii="Calibri" w:eastAsia="Calibri" w:hAnsi="Calibri" w:cs="Calibri"/>
          <w:sz w:val="21"/>
        </w:rPr>
        <w:t>Kenyon cell</w:t>
      </w:r>
      <w:r>
        <w:rPr>
          <w:rFonts w:ascii="Calibri" w:eastAsia="Calibri" w:hAnsi="Calibri" w:cs="Calibri"/>
          <w:sz w:val="21"/>
        </w:rPr>
        <w:t xml:space="preserve"> assignment illustrates why two panels </w:t>
      </w:r>
      <w:r>
        <w:rPr>
          <w:rFonts w:ascii="Calibri" w:eastAsia="Calibri" w:hAnsi="Calibri" w:cs="Calibri"/>
          <w:sz w:val="21"/>
        </w:rPr>
        <w:t>are</w:t>
      </w:r>
      <w:r>
        <w:rPr>
          <w:rFonts w:ascii="Calibri" w:eastAsia="Calibri" w:hAnsi="Calibri" w:cs="Calibri"/>
          <w:sz w:val="21"/>
        </w:rPr>
        <w:t xml:space="preserve"> necessary.</w:t>
      </w:r>
      <w:r>
        <w:rPr>
          <w:rFonts w:ascii="Calibri" w:eastAsia="Calibri" w:hAnsi="Calibri" w:cs="Calibri"/>
          <w:sz w:val="21"/>
        </w:rPr>
        <w:t xml:space="preserve"> Ranked on the published triplet (</w:t>
      </w:r>
      <w:r>
        <w:rPr>
          <w:rFonts w:ascii="Calibri" w:eastAsia="Calibri" w:hAnsi="Calibri" w:cs="Calibri"/>
          <w:i/>
          <w:sz w:val="21"/>
        </w:rPr>
        <w:t>jdp</w:t>
      </w:r>
      <w:r>
        <w:rPr>
          <w:rFonts w:ascii="Calibri" w:eastAsia="Calibri" w:hAnsi="Calibri" w:cs="Calibri"/>
          <w:sz w:val="21"/>
        </w:rPr>
        <w:t xml:space="preserve">/Pka-R2/Rgk1) alone, cluster 28 placed a close second and could plausibly </w:t>
      </w:r>
      <w:r>
        <w:rPr>
          <w:rFonts w:ascii="Calibri" w:eastAsia="Calibri" w:hAnsi="Calibri" w:cs="Calibri"/>
          <w:sz w:val="21"/>
        </w:rPr>
        <w:t>be</w:t>
      </w:r>
      <w:r>
        <w:rPr>
          <w:rFonts w:ascii="Calibri" w:eastAsia="Calibri" w:hAnsi="Calibri" w:cs="Calibri"/>
          <w:sz w:val="21"/>
        </w:rPr>
        <w:t xml:space="preserve"> called a Kenyon subpopulation.</w:t>
      </w:r>
      <w:r>
        <w:rPr>
          <w:rFonts w:ascii="Calibri" w:eastAsia="Calibri" w:hAnsi="Calibri" w:cs="Calibri"/>
          <w:sz w:val="21"/>
        </w:rPr>
        <w:t xml:space="preserve"> The independent panel excluded it: </w:t>
      </w:r>
      <w:r>
        <w:rPr>
          <w:rFonts w:ascii="Calibri" w:eastAsia="Calibri" w:hAnsi="Calibri" w:cs="Calibri"/>
          <w:i/>
          <w:sz w:val="21"/>
        </w:rPr>
        <w:t>ey</w:t>
      </w:r>
      <w:r>
        <w:rPr>
          <w:rFonts w:ascii="Calibri" w:eastAsia="Calibri" w:hAnsi="Calibri" w:cs="Calibri"/>
          <w:sz w:val="21"/>
        </w:rPr>
        <w:t xml:space="preserve"> reads 1.084 in cluster 12 and 0.017 in cluster 28, </w:t>
      </w:r>
      <w:r>
        <w:rPr>
          <w:rFonts w:ascii="Calibri" w:eastAsia="Calibri" w:hAnsi="Calibri" w:cs="Calibri"/>
          <w:sz w:val="21"/>
        </w:rPr>
        <w:t xml:space="preserve">which were </w:t>
      </w:r>
      <w:r>
        <w:rPr>
          <w:rFonts w:ascii="Calibri" w:eastAsia="Calibri" w:hAnsi="Calibri" w:cs="Calibri"/>
          <w:sz w:val="21"/>
        </w:rPr>
        <w:t xml:space="preserve">indistinguishable from </w:t>
      </w:r>
      <w:r>
        <w:rPr>
          <w:rFonts w:ascii="Calibri" w:eastAsia="Calibri" w:hAnsi="Calibri" w:cs="Calibri"/>
          <w:sz w:val="21"/>
        </w:rPr>
        <w:t xml:space="preserve">the </w:t>
      </w:r>
      <w:r>
        <w:rPr>
          <w:rFonts w:ascii="Calibri" w:eastAsia="Calibri" w:hAnsi="Calibri" w:cs="Calibri"/>
          <w:sz w:val="21"/>
        </w:rPr>
        <w:t>background.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>The C17 astrocytes</w:t>
      </w:r>
      <w:r>
        <w:rPr>
          <w:rFonts w:ascii="Calibri" w:eastAsia="Calibri" w:hAnsi="Calibri" w:cs="Calibri"/>
          <w:sz w:val="21"/>
        </w:rPr>
        <w:t xml:space="preserve"> in the paper</w:t>
      </w:r>
      <w:r>
        <w:rPr>
          <w:rFonts w:ascii="Calibri" w:eastAsia="Calibri" w:hAnsi="Calibri" w:cs="Calibri"/>
          <w:sz w:val="21"/>
        </w:rPr>
        <w:t xml:space="preserve"> could not be identified with confidence.</w:t>
      </w:r>
      <w:r>
        <w:rPr>
          <w:rFonts w:ascii="Calibri" w:eastAsia="Calibri" w:hAnsi="Calibri" w:cs="Calibri"/>
          <w:sz w:val="21"/>
        </w:rPr>
        <w:t xml:space="preserve"> Cluster 24 matched on Eaat1 (3.501) and CG15522 but was repo-negative (0.028) and alrm-negative (0.033) with high neuronal markers and was left unannotated.</w:t>
      </w:r>
      <w:r>
        <w:rPr>
          <w:rFonts w:ascii="Calibri" w:eastAsia="Calibri" w:hAnsi="Calibri" w:cs="Calibri"/>
          <w:sz w:val="21"/>
        </w:rPr>
        <w:t xml:space="preserve"> The genuine astrocyte-like population (cluster 2: repo 0.830, alrm 4.106, Gs2 4.829, Eaat1 3.642) comprises only 143 cells.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2691206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69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Figure 6. </w:t>
      </w:r>
      <w:r>
        <w:rPr>
          <w:rFonts w:ascii="Calibri" w:eastAsia="Calibri" w:hAnsi="Calibri" w:cs="Calibri"/>
          <w:sz w:val="18"/>
        </w:rPr>
        <w:t>Cell-type annotation of the 30 Leiden clusters.</w:t>
      </w:r>
      <w:r>
        <w:rPr>
          <w:rFonts w:ascii="Calibri" w:eastAsia="Calibri" w:hAnsi="Calibri" w:cs="Calibri"/>
          <w:sz w:val="18"/>
        </w:rPr>
        <w:t xml:space="preserve"> </w:t>
      </w:r>
      <w:r>
        <w:rPr>
          <w:rFonts w:ascii="Calibri" w:eastAsia="Calibri" w:hAnsi="Calibri" w:cs="Calibri"/>
          <w:sz w:val="18"/>
        </w:rPr>
        <w:t>The numbers</w:t>
      </w:r>
      <w:r>
        <w:rPr>
          <w:rFonts w:ascii="Calibri" w:eastAsia="Calibri" w:hAnsi="Calibri" w:cs="Calibri"/>
          <w:sz w:val="18"/>
        </w:rPr>
        <w:t xml:space="preserve"> on the plot correspond to the legend, which lists </w:t>
      </w:r>
      <w:r>
        <w:rPr>
          <w:rFonts w:ascii="Calibri" w:eastAsia="Calibri" w:hAnsi="Calibri" w:cs="Calibri"/>
          <w:sz w:val="18"/>
        </w:rPr>
        <w:t xml:space="preserve">the </w:t>
      </w:r>
      <w:r>
        <w:rPr>
          <w:rFonts w:ascii="Calibri" w:eastAsia="Calibri" w:hAnsi="Calibri" w:cs="Calibri"/>
          <w:sz w:val="18"/>
        </w:rPr>
        <w:t>cell type and cluster size.</w:t>
      </w:r>
    </w:p>
    <w:p>
      <w:pPr>
        <w:jc w:val="left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3431541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43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Figure 7. </w:t>
      </w:r>
      <w:r>
        <w:rPr>
          <w:rFonts w:ascii="Calibri" w:eastAsia="Calibri" w:hAnsi="Calibri" w:cs="Calibri"/>
          <w:sz w:val="18"/>
        </w:rPr>
        <w:t>Canonical marker expression by cluster.</w:t>
      </w:r>
      <w:r>
        <w:rPr>
          <w:rFonts w:ascii="Calibri" w:eastAsia="Calibri" w:hAnsi="Calibri" w:cs="Calibri"/>
          <w:sz w:val="18"/>
        </w:rPr>
        <w:t xml:space="preserve"> Rows are labelled by cluster number and assigned cell type; gene names give the fly symbol with the reference’s substituted name in parentheses where they differ.</w:t>
      </w:r>
      <w:r>
        <w:rPr>
          <w:rFonts w:ascii="Calibri" w:eastAsia="Calibri" w:hAnsi="Calibri" w:cs="Calibri"/>
          <w:sz w:val="18"/>
        </w:rPr>
        <w:t xml:space="preserve"> Dot size indicates the fraction of cells expressing; colour indicates scaled mean expression.</w:t>
      </w:r>
      <w:r>
        <w:rPr>
          <w:rFonts w:ascii="Calibri" w:eastAsia="Calibri" w:hAnsi="Calibri" w:cs="Calibri"/>
          <w:sz w:val="18"/>
        </w:rPr>
        <w:t xml:space="preserve"> Note the contrast between cluster 2 (repo, alrm, Eaat1, Gat all high) and cluster 24 (Eaat1 alone).</w:t>
      </w:r>
    </w:p>
    <w:p>
      <w:pPr>
        <w:jc w:val="left"/>
      </w:pPr>
    </w:p>
    <w:p>
      <w:pPr>
        <w:pStyle w:val="Heading2"/>
        <w:jc w:val="left"/>
      </w:pPr>
      <w:r>
        <w:rPr>
          <w:rFonts w:ascii="Calibri" w:eastAsia="Calibri" w:hAnsi="Calibri" w:cs="Calibri"/>
          <w:b/>
          <w:color w:val="2E5C8A"/>
          <w:sz w:val="24"/>
        </w:rPr>
        <w:t>3.3 The male bias is strongly analysis-dependent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 xml:space="preserve">Pooled within each sex, males showed 90 </w:t>
      </w:r>
      <w:r>
        <w:rPr>
          <w:rFonts w:ascii="Calibri" w:eastAsia="Calibri" w:hAnsi="Calibri" w:cs="Calibri"/>
          <w:sz w:val="21"/>
        </w:rPr>
        <w:t>DEGs</w:t>
      </w:r>
      <w:r>
        <w:rPr>
          <w:rFonts w:ascii="Calibri" w:eastAsia="Calibri" w:hAnsi="Calibri" w:cs="Calibri"/>
          <w:sz w:val="21"/>
        </w:rPr>
        <w:t xml:space="preserve"> (87 </w:t>
      </w:r>
      <w:r>
        <w:rPr>
          <w:rFonts w:ascii="Calibri" w:eastAsia="Calibri" w:hAnsi="Calibri" w:cs="Calibri"/>
          <w:sz w:val="21"/>
        </w:rPr>
        <w:t>upregulated</w:t>
      </w:r>
      <w:r>
        <w:rPr>
          <w:rFonts w:ascii="Calibri" w:eastAsia="Calibri" w:hAnsi="Calibri" w:cs="Calibri"/>
          <w:sz w:val="21"/>
        </w:rPr>
        <w:t xml:space="preserve">, 3 </w:t>
      </w:r>
      <w:r>
        <w:rPr>
          <w:rFonts w:ascii="Calibri" w:eastAsia="Calibri" w:hAnsi="Calibri" w:cs="Calibri"/>
          <w:sz w:val="21"/>
        </w:rPr>
        <w:t>downregulated</w:t>
      </w:r>
      <w:r>
        <w:rPr>
          <w:rFonts w:ascii="Calibri" w:eastAsia="Calibri" w:hAnsi="Calibri" w:cs="Calibri"/>
          <w:sz w:val="21"/>
        </w:rPr>
        <w:t xml:space="preserve">) and females 14 (12 </w:t>
      </w:r>
      <w:r>
        <w:rPr>
          <w:rFonts w:ascii="Calibri" w:eastAsia="Calibri" w:hAnsi="Calibri" w:cs="Calibri"/>
          <w:sz w:val="21"/>
        </w:rPr>
        <w:t>upregulated</w:t>
      </w:r>
      <w:r>
        <w:rPr>
          <w:rFonts w:ascii="Calibri" w:eastAsia="Calibri" w:hAnsi="Calibri" w:cs="Calibri"/>
          <w:sz w:val="21"/>
        </w:rPr>
        <w:t xml:space="preserve">, 2 </w:t>
      </w:r>
      <w:r>
        <w:rPr>
          <w:rFonts w:ascii="Calibri" w:eastAsia="Calibri" w:hAnsi="Calibri" w:cs="Calibri"/>
          <w:sz w:val="21"/>
        </w:rPr>
        <w:t>downregulated</w:t>
      </w:r>
      <w:r>
        <w:rPr>
          <w:rFonts w:ascii="Calibri" w:eastAsia="Calibri" w:hAnsi="Calibri" w:cs="Calibri"/>
          <w:sz w:val="21"/>
        </w:rPr>
        <w:t>) — a ratio of 6.43-fold.</w:t>
      </w:r>
      <w:r>
        <w:rPr>
          <w:rFonts w:ascii="Calibri" w:eastAsia="Calibri" w:hAnsi="Calibri" w:cs="Calibri"/>
          <w:sz w:val="21"/>
        </w:rPr>
        <w:t xml:space="preserve"> Baker et al. </w:t>
      </w:r>
      <w:r>
        <w:rPr>
          <w:rFonts w:ascii="Calibri" w:eastAsia="Calibri" w:hAnsi="Calibri" w:cs="Calibri"/>
          <w:sz w:val="21"/>
        </w:rPr>
        <w:t>reported</w:t>
      </w:r>
      <w:r>
        <w:rPr>
          <w:rFonts w:ascii="Calibri" w:eastAsia="Calibri" w:hAnsi="Calibri" w:cs="Calibri"/>
          <w:sz w:val="21"/>
        </w:rPr>
        <w:t xml:space="preserve"> 691 versus 322 (2.15-fold).</w:t>
      </w:r>
      <w:r>
        <w:rPr>
          <w:rFonts w:ascii="Calibri" w:eastAsia="Calibri" w:hAnsi="Calibri" w:cs="Calibri"/>
          <w:sz w:val="21"/>
        </w:rPr>
        <w:t xml:space="preserve"> Computing the same quantity differently </w:t>
      </w:r>
      <w:r>
        <w:rPr>
          <w:rFonts w:ascii="Calibri" w:eastAsia="Calibri" w:hAnsi="Calibri" w:cs="Calibri"/>
          <w:sz w:val="21"/>
        </w:rPr>
        <w:t>yields</w:t>
      </w:r>
      <w:r>
        <w:rPr>
          <w:rFonts w:ascii="Calibri" w:eastAsia="Calibri" w:hAnsi="Calibri" w:cs="Calibri"/>
          <w:sz w:val="21"/>
        </w:rPr>
        <w:t xml:space="preserve"> materially different answers.</w:t>
      </w:r>
    </w:p>
    <w:p>
      <w:pPr>
        <w:jc w:val="both"/>
      </w:pPr>
    </w:p>
    <w:p>
      <w:r>
        <w:rPr>
          <w:rFonts w:ascii="Calibri" w:eastAsia="Calibri" w:hAnsi="Calibri" w:cs="Calibri"/>
          <w:b/>
          <w:sz w:val="18"/>
        </w:rPr>
        <w:t xml:space="preserve">Table 3. </w:t>
      </w:r>
      <w:r>
        <w:rPr>
          <w:rFonts w:ascii="Calibri" w:eastAsia="Calibri" w:hAnsi="Calibri" w:cs="Calibri"/>
          <w:sz w:val="18"/>
        </w:rPr>
        <w:t xml:space="preserve">The male:female ratio of differentially expressed genes under </w:t>
      </w:r>
      <w:r>
        <w:rPr>
          <w:rFonts w:ascii="Calibri" w:eastAsia="Calibri" w:hAnsi="Calibri" w:cs="Calibri"/>
          <w:sz w:val="18"/>
        </w:rPr>
        <w:t xml:space="preserve">the </w:t>
      </w:r>
      <w:r>
        <w:rPr>
          <w:rFonts w:ascii="Calibri" w:eastAsia="Calibri" w:hAnsi="Calibri" w:cs="Calibri"/>
          <w:sz w:val="18"/>
        </w:rPr>
        <w:t>six analyses of the same corrected data.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4314"/>
        <w:gridCol w:w="1495"/>
        <w:gridCol w:w="1682"/>
        <w:gridCol w:w="1869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314" w:type="dxa"/>
            <w:shd w:val="clear" w:color="auto" w:fill="FFFFFF"/>
          </w:tcPr>
          <w:p>
            <w:r>
              <w:rPr>
                <w:rFonts w:ascii="Calibri" w:eastAsia="Calibri" w:hAnsi="Calibri" w:cs="Calibri"/>
                <w:b/>
                <w:sz w:val="18"/>
              </w:rPr>
              <w:t>Analysis</w:t>
            </w:r>
          </w:p>
          <w:p/>
        </w:tc>
        <w:tc>
          <w:tcPr>
            <w:tcW w:w="1495" w:type="dxa"/>
            <w:shd w:val="clear" w:color="auto" w:fill="FFFFFF"/>
          </w:tcPr>
          <w:p>
            <w:r>
              <w:rPr>
                <w:rFonts w:ascii="Calibri" w:eastAsia="Calibri" w:hAnsi="Calibri" w:cs="Calibri"/>
                <w:b/>
                <w:sz w:val="18"/>
              </w:rPr>
              <w:t>Male</w:t>
            </w:r>
          </w:p>
          <w:p/>
        </w:tc>
        <w:tc>
          <w:tcPr>
            <w:tcW w:w="1682" w:type="dxa"/>
            <w:shd w:val="clear" w:color="auto" w:fill="FFFFFF"/>
          </w:tcPr>
          <w:p>
            <w:r>
              <w:rPr>
                <w:rFonts w:ascii="Calibri" w:eastAsia="Calibri" w:hAnsi="Calibri" w:cs="Calibri"/>
                <w:b/>
                <w:sz w:val="18"/>
              </w:rPr>
              <w:t>Female</w:t>
            </w:r>
          </w:p>
          <w:p/>
        </w:tc>
        <w:tc>
          <w:tcPr>
            <w:tcW w:w="1869" w:type="dxa"/>
            <w:shd w:val="clear" w:color="auto" w:fill="FFFFFF"/>
          </w:tcPr>
          <w:p>
            <w:r>
              <w:rPr>
                <w:rFonts w:ascii="Calibri" w:eastAsia="Calibri" w:hAnsi="Calibri" w:cs="Calibri"/>
                <w:b/>
                <w:sz w:val="18"/>
              </w:rPr>
              <w:t>Ratio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431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Pooled, all cells per sex</w:t>
            </w:r>
          </w:p>
          <w:p/>
        </w:tc>
        <w:tc>
          <w:tcPr>
            <w:tcW w:w="1495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90</w:t>
            </w:r>
          </w:p>
          <w:p/>
        </w:tc>
        <w:tc>
          <w:tcPr>
            <w:tcW w:w="1682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14</w:t>
            </w:r>
          </w:p>
          <w:p/>
        </w:tc>
        <w:tc>
          <w:tcPr>
            <w:tcW w:w="186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6.43×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431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Gene × cluster events, |log2FC| &gt; 1</w:t>
            </w:r>
          </w:p>
          <w:p/>
        </w:tc>
        <w:tc>
          <w:tcPr>
            <w:tcW w:w="1495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616</w:t>
            </w:r>
          </w:p>
          <w:p/>
        </w:tc>
        <w:tc>
          <w:tcPr>
            <w:tcW w:w="1682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373</w:t>
            </w:r>
          </w:p>
          <w:p/>
        </w:tc>
        <w:tc>
          <w:tcPr>
            <w:tcW w:w="186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1.65×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431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Unique genes, |log2FC| &gt; 1</w:t>
            </w:r>
          </w:p>
          <w:p/>
        </w:tc>
        <w:tc>
          <w:tcPr>
            <w:tcW w:w="1495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188</w:t>
            </w:r>
          </w:p>
          <w:p/>
        </w:tc>
        <w:tc>
          <w:tcPr>
            <w:tcW w:w="1682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193</w:t>
            </w:r>
          </w:p>
          <w:p/>
        </w:tc>
        <w:tc>
          <w:tcPr>
            <w:tcW w:w="186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0.97×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431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Gene × cluster events, |log2FC| &gt; 1.443</w:t>
            </w:r>
          </w:p>
          <w:p/>
        </w:tc>
        <w:tc>
          <w:tcPr>
            <w:tcW w:w="1495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254</w:t>
            </w:r>
          </w:p>
          <w:p/>
        </w:tc>
        <w:tc>
          <w:tcPr>
            <w:tcW w:w="1682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74</w:t>
            </w:r>
          </w:p>
          <w:p/>
        </w:tc>
        <w:tc>
          <w:tcPr>
            <w:tcW w:w="186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3.43×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431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Unique genes, |log2FC| &gt; 1.443</w:t>
            </w:r>
          </w:p>
          <w:p/>
        </w:tc>
        <w:tc>
          <w:tcPr>
            <w:tcW w:w="1495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46</w:t>
            </w:r>
          </w:p>
          <w:p/>
        </w:tc>
        <w:tc>
          <w:tcPr>
            <w:tcW w:w="1682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45</w:t>
            </w:r>
          </w:p>
          <w:p/>
        </w:tc>
        <w:tc>
          <w:tcPr>
            <w:tcW w:w="186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1.02×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431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Baker et al. (MAST, Bonferroni)</w:t>
            </w:r>
          </w:p>
          <w:p/>
        </w:tc>
        <w:tc>
          <w:tcPr>
            <w:tcW w:w="1495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691</w:t>
            </w:r>
          </w:p>
          <w:p/>
        </w:tc>
        <w:tc>
          <w:tcPr>
            <w:tcW w:w="1682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322</w:t>
            </w:r>
          </w:p>
          <w:p/>
        </w:tc>
        <w:tc>
          <w:tcPr>
            <w:tcW w:w="186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2.15×</w:t>
            </w:r>
          </w:p>
          <w:p/>
        </w:tc>
      </w:tr>
    </w:tbl>
    <w:p/>
    <w:p/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3363040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3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Figure 8. </w:t>
      </w:r>
      <w:r>
        <w:rPr>
          <w:rFonts w:ascii="Calibri" w:eastAsia="Calibri" w:hAnsi="Calibri" w:cs="Calibri"/>
          <w:sz w:val="18"/>
        </w:rPr>
        <w:t>Male:female ratio of differentially expressed genes under three analyses.</w:t>
      </w:r>
      <w:r>
        <w:rPr>
          <w:rFonts w:ascii="Calibri" w:eastAsia="Calibri" w:hAnsi="Calibri" w:cs="Calibri"/>
          <w:sz w:val="18"/>
        </w:rPr>
        <w:t xml:space="preserve"> Pooled: all cells of one sex in a single comparison.</w:t>
      </w:r>
      <w:r>
        <w:rPr>
          <w:rFonts w:ascii="Calibri" w:eastAsia="Calibri" w:hAnsi="Calibri" w:cs="Calibri"/>
          <w:sz w:val="18"/>
        </w:rPr>
        <w:t xml:space="preserve"> Per-cluster: 23 annotated clusters tested separately and summed.</w:t>
      </w:r>
      <w:r>
        <w:rPr>
          <w:rFonts w:ascii="Calibri" w:eastAsia="Calibri" w:hAnsi="Calibri" w:cs="Calibri"/>
          <w:sz w:val="18"/>
        </w:rPr>
        <w:t xml:space="preserve"> Baker et al. </w:t>
      </w:r>
      <w:r>
        <w:rPr>
          <w:rFonts w:ascii="Calibri" w:eastAsia="Calibri" w:hAnsi="Calibri" w:cs="Calibri"/>
          <w:sz w:val="18"/>
        </w:rPr>
        <w:t>reported</w:t>
      </w:r>
      <w:r>
        <w:rPr>
          <w:rFonts w:ascii="Calibri" w:eastAsia="Calibri" w:hAnsi="Calibri" w:cs="Calibri"/>
          <w:sz w:val="18"/>
        </w:rPr>
        <w:t xml:space="preserve"> 691 and 322 from pooled cells using MAST with Bonferroni correction</w:t>
      </w:r>
      <w:r>
        <w:rPr>
          <w:rFonts w:ascii="Calibri" w:eastAsia="Calibri" w:hAnsi="Calibri" w:cs="Calibri"/>
          <w:sz w:val="18"/>
        </w:rPr>
        <w:t>; therefore,</w:t>
      </w:r>
      <w:r>
        <w:rPr>
          <w:rFonts w:ascii="Calibri" w:eastAsia="Calibri" w:hAnsi="Calibri" w:cs="Calibri"/>
          <w:sz w:val="18"/>
        </w:rPr>
        <w:t xml:space="preserve"> the published figure is not directly comparable in test or correction method.</w:t>
      </w:r>
      <w:r>
        <w:rPr>
          <w:rFonts w:ascii="Calibri" w:eastAsia="Calibri" w:hAnsi="Calibri" w:cs="Calibri"/>
          <w:sz w:val="18"/>
        </w:rPr>
        <w:t xml:space="preserve"> Dashed line indicates no sex bias.</w:t>
      </w:r>
    </w:p>
    <w:p>
      <w:pPr>
        <w:jc w:val="left"/>
      </w:pPr>
    </w:p>
    <w:p>
      <w:pPr>
        <w:jc w:val="both"/>
      </w:pPr>
      <w:r>
        <w:rPr>
          <w:rFonts w:ascii="Calibri" w:eastAsia="Calibri" w:hAnsi="Calibri" w:cs="Calibri"/>
          <w:sz w:val="21"/>
        </w:rPr>
        <w:t>Essentially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the same number of unique genes </w:t>
      </w:r>
      <w:r>
        <w:rPr>
          <w:rFonts w:ascii="Calibri" w:eastAsia="Calibri" w:hAnsi="Calibri" w:cs="Calibri"/>
          <w:sz w:val="21"/>
        </w:rPr>
        <w:t>responded</w:t>
      </w:r>
      <w:r>
        <w:rPr>
          <w:rFonts w:ascii="Calibri" w:eastAsia="Calibri" w:hAnsi="Calibri" w:cs="Calibri"/>
          <w:sz w:val="21"/>
        </w:rPr>
        <w:t xml:space="preserve"> in each sex.</w:t>
      </w:r>
      <w:r>
        <w:rPr>
          <w:rFonts w:ascii="Calibri" w:eastAsia="Calibri" w:hAnsi="Calibri" w:cs="Calibri"/>
          <w:sz w:val="21"/>
        </w:rPr>
        <w:t xml:space="preserve"> The asymmetry lies in how many clusters each responding gene affects: mean 3.28 clusters per gene in males against 1.93 in females.</w:t>
      </w:r>
      <w:r>
        <w:rPr>
          <w:rFonts w:ascii="Calibri" w:eastAsia="Calibri" w:hAnsi="Calibri" w:cs="Calibri"/>
          <w:sz w:val="21"/>
        </w:rPr>
        <w:t xml:space="preserve"> This difference is driven by the tails rather than by a general shift — medians were 1 in both sexes and a Mann–Whitney test was non-significant (</w:t>
      </w:r>
      <w:r>
        <w:rPr>
          <w:rFonts w:ascii="Calibri" w:eastAsia="Calibri" w:hAnsi="Calibri" w:cs="Calibri"/>
          <w:i/>
          <w:sz w:val="21"/>
        </w:rPr>
        <w:t>p</w:t>
      </w:r>
      <w:r>
        <w:rPr>
          <w:rFonts w:ascii="Calibri" w:eastAsia="Calibri" w:hAnsi="Calibri" w:cs="Calibri"/>
          <w:sz w:val="21"/>
        </w:rPr>
        <w:t xml:space="preserve"> = 0.24), with male maxima of 23 clusters against 12 in females.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>Female responses were also more concentrated by cell type.</w:t>
      </w:r>
      <w:r>
        <w:rPr>
          <w:rFonts w:ascii="Calibri" w:eastAsia="Calibri" w:hAnsi="Calibri" w:cs="Calibri"/>
          <w:sz w:val="21"/>
        </w:rPr>
        <w:t xml:space="preserve"> Females exceeded males in </w:t>
      </w:r>
      <w:r>
        <w:rPr>
          <w:rFonts w:ascii="Calibri" w:eastAsia="Calibri" w:hAnsi="Calibri" w:cs="Calibri"/>
          <w:sz w:val="21"/>
        </w:rPr>
        <w:t>six</w:t>
      </w:r>
      <w:r>
        <w:rPr>
          <w:rFonts w:ascii="Calibri" w:eastAsia="Calibri" w:hAnsi="Calibri" w:cs="Calibri"/>
          <w:sz w:val="21"/>
        </w:rPr>
        <w:t xml:space="preserve"> of 23 clusters, including Kenyon cells (63 versus 33), the antennal/optic lobe cluster corresponding to C16 (58 versus 17), dopaminergic </w:t>
      </w:r>
      <w:r>
        <w:rPr>
          <w:rFonts w:ascii="Calibri" w:eastAsia="Calibri" w:hAnsi="Calibri" w:cs="Calibri"/>
          <w:sz w:val="21"/>
        </w:rPr>
        <w:t>neurones</w:t>
      </w:r>
      <w:r>
        <w:rPr>
          <w:rFonts w:ascii="Calibri" w:eastAsia="Calibri" w:hAnsi="Calibri" w:cs="Calibri"/>
          <w:sz w:val="21"/>
        </w:rPr>
        <w:t xml:space="preserve"> (51 versus 35)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and surface glia (34 versus 14).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 xml:space="preserve">Overlap between the sexes was </w:t>
      </w:r>
      <w:r>
        <w:rPr>
          <w:rFonts w:ascii="Calibri" w:eastAsia="Calibri" w:hAnsi="Calibri" w:cs="Calibri"/>
          <w:sz w:val="21"/>
        </w:rPr>
        <w:t>near zero</w:t>
      </w:r>
      <w:r>
        <w:rPr>
          <w:rFonts w:ascii="Calibri" w:eastAsia="Calibri" w:hAnsi="Calibri" w:cs="Calibri"/>
          <w:sz w:val="21"/>
        </w:rPr>
        <w:t xml:space="preserve"> at the pooled level (89 male-only, 13 female-only, 1 shared) and per cluster (Jaccard index 0.000–0.032 across six cell types).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5133831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13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Figure 9. </w:t>
      </w:r>
      <w:r>
        <w:rPr>
          <w:rFonts w:ascii="Calibri" w:eastAsia="Calibri" w:hAnsi="Calibri" w:cs="Calibri"/>
          <w:sz w:val="18"/>
        </w:rPr>
        <w:t>Differentially expressed genes per cell type and sex, with the depth-confounded cluster omitted.</w:t>
      </w:r>
      <w:r>
        <w:rPr>
          <w:rFonts w:ascii="Calibri" w:eastAsia="Calibri" w:hAnsi="Calibri" w:cs="Calibri"/>
          <w:sz w:val="18"/>
        </w:rPr>
        <w:t xml:space="preserve"> Cell types </w:t>
      </w:r>
      <w:r>
        <w:rPr>
          <w:rFonts w:ascii="Calibri" w:eastAsia="Calibri" w:hAnsi="Calibri" w:cs="Calibri"/>
          <w:sz w:val="18"/>
        </w:rPr>
        <w:t xml:space="preserve">were ordered according to the </w:t>
      </w:r>
      <w:r>
        <w:rPr>
          <w:rFonts w:ascii="Calibri" w:eastAsia="Calibri" w:hAnsi="Calibri" w:cs="Calibri"/>
          <w:sz w:val="18"/>
        </w:rPr>
        <w:t>total response.</w:t>
      </w:r>
    </w:p>
    <w:p>
      <w:pPr>
        <w:jc w:val="left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3502479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50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Figure 10. </w:t>
      </w:r>
      <w:r>
        <w:rPr>
          <w:rFonts w:ascii="Calibri" w:eastAsia="Calibri" w:hAnsi="Calibri" w:cs="Calibri"/>
          <w:sz w:val="18"/>
        </w:rPr>
        <w:t>Male: cocaine versus sucrose, pooled across all cells.</w:t>
      </w:r>
      <w:r>
        <w:rPr>
          <w:rFonts w:ascii="Calibri" w:eastAsia="Calibri" w:hAnsi="Calibri" w:cs="Calibri"/>
          <w:sz w:val="18"/>
        </w:rPr>
        <w:t xml:space="preserve"> Genes passing |log2FC| &gt; 1 and adjusted p &lt; 0.05 are highlighted; the ten most significant </w:t>
      </w:r>
      <w:r>
        <w:rPr>
          <w:rFonts w:ascii="Calibri" w:eastAsia="Calibri" w:hAnsi="Calibri" w:cs="Calibri"/>
          <w:sz w:val="18"/>
        </w:rPr>
        <w:t xml:space="preserve">genes </w:t>
      </w:r>
      <w:r>
        <w:rPr>
          <w:rFonts w:ascii="Calibri" w:eastAsia="Calibri" w:hAnsi="Calibri" w:cs="Calibri"/>
          <w:sz w:val="18"/>
        </w:rPr>
        <w:t>are labelled.</w:t>
      </w:r>
    </w:p>
    <w:p>
      <w:pPr>
        <w:jc w:val="left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3502479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50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Figure 11. </w:t>
      </w:r>
      <w:r>
        <w:rPr>
          <w:rFonts w:ascii="Calibri" w:eastAsia="Calibri" w:hAnsi="Calibri" w:cs="Calibri"/>
          <w:sz w:val="18"/>
        </w:rPr>
        <w:t xml:space="preserve">Female: cocaine versus sucrose, pooled across all </w:t>
      </w:r>
      <w:r>
        <w:rPr>
          <w:rFonts w:ascii="Calibri" w:eastAsia="Calibri" w:hAnsi="Calibri" w:cs="Calibri"/>
          <w:sz w:val="18"/>
        </w:rPr>
        <w:t>animals</w:t>
      </w:r>
      <w:r>
        <w:rPr>
          <w:rFonts w:ascii="Calibri" w:eastAsia="Calibri" w:hAnsi="Calibri" w:cs="Calibri"/>
          <w:sz w:val="18"/>
        </w:rPr>
        <w:t>.</w:t>
      </w:r>
      <w:r>
        <w:rPr>
          <w:rFonts w:ascii="Calibri" w:eastAsia="Calibri" w:hAnsi="Calibri" w:cs="Calibri"/>
          <w:sz w:val="18"/>
        </w:rPr>
        <w:t xml:space="preserve"> Axes and thresholds </w:t>
      </w:r>
      <w:r>
        <w:rPr>
          <w:rFonts w:ascii="Calibri" w:eastAsia="Calibri" w:hAnsi="Calibri" w:cs="Calibri"/>
          <w:sz w:val="18"/>
        </w:rPr>
        <w:t>are shown</w:t>
      </w:r>
      <w:r>
        <w:rPr>
          <w:rFonts w:ascii="Calibri" w:eastAsia="Calibri" w:hAnsi="Calibri" w:cs="Calibri"/>
          <w:sz w:val="18"/>
        </w:rPr>
        <w:t xml:space="preserve"> in Figure 10.</w:t>
      </w:r>
    </w:p>
    <w:p>
      <w:pPr>
        <w:jc w:val="left"/>
      </w:pPr>
    </w:p>
    <w:p>
      <w:pPr>
        <w:pStyle w:val="Heading2"/>
        <w:jc w:val="left"/>
      </w:pPr>
      <w:r>
        <w:rPr>
          <w:rFonts w:ascii="Calibri" w:eastAsia="Calibri" w:hAnsi="Calibri" w:cs="Calibri"/>
          <w:b/>
          <w:color w:val="2E5C8A"/>
          <w:sz w:val="24"/>
        </w:rPr>
        <w:t>3.4 Abundant housekeeping transcripts account for most of the breadth difference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 xml:space="preserve">The male genes affecting most clusters were dominated by structural and metabolic transcripts: mt:lrRNA (23 clusters), snRNA:7SKa (22), Cyt-c-p (21), Mic10b (19), mt:srRNA (18), RpL41 (17), </w:t>
      </w:r>
      <w:r>
        <w:rPr>
          <w:rFonts w:ascii="Calibri" w:eastAsia="Calibri" w:hAnsi="Calibri" w:cs="Calibri"/>
          <w:i/>
          <w:sz w:val="21"/>
        </w:rPr>
        <w:t>sun</w:t>
      </w:r>
      <w:r>
        <w:rPr>
          <w:rFonts w:ascii="Calibri" w:eastAsia="Calibri" w:hAnsi="Calibri" w:cs="Calibri"/>
          <w:sz w:val="21"/>
        </w:rPr>
        <w:t xml:space="preserve"> (17), RNaseMRP:RNA (16).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>Twenty-five such genes accounted for 224 of 616 male gene × cluster events (36%)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but only seven genes and 27 of 373 events in females (7%).</w:t>
      </w:r>
      <w:r>
        <w:rPr>
          <w:rFonts w:ascii="Calibri" w:eastAsia="Calibri" w:hAnsi="Calibri" w:cs="Calibri"/>
          <w:sz w:val="21"/>
        </w:rPr>
        <w:t xml:space="preserve"> Excluding them reduced the gene × cluster ratio from 1.65-fold to </w:t>
      </w:r>
      <w:r>
        <w:rPr>
          <w:rFonts w:ascii="Calibri" w:eastAsia="Calibri" w:hAnsi="Calibri" w:cs="Calibri"/>
          <w:b/>
          <w:sz w:val="21"/>
        </w:rPr>
        <w:t>1.13-fold</w:t>
      </w:r>
      <w:r>
        <w:rPr>
          <w:rFonts w:ascii="Calibri" w:eastAsia="Calibri" w:hAnsi="Calibri" w:cs="Calibri"/>
          <w:sz w:val="21"/>
        </w:rPr>
        <w:t xml:space="preserve">, breadth from 1.70-fold to 1.29-fold, and rendered the breadth difference non-significant (Mann–Whitney </w:t>
      </w:r>
      <w:r>
        <w:rPr>
          <w:rFonts w:ascii="Calibri" w:eastAsia="Calibri" w:hAnsi="Calibri" w:cs="Calibri"/>
          <w:i/>
          <w:sz w:val="21"/>
        </w:rPr>
        <w:t>p</w:t>
      </w:r>
      <w:r>
        <w:rPr>
          <w:rFonts w:ascii="Calibri" w:eastAsia="Calibri" w:hAnsi="Calibri" w:cs="Calibri"/>
          <w:sz w:val="21"/>
        </w:rPr>
        <w:t xml:space="preserve"> = 0.72).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 xml:space="preserve">Excluding the same classes did </w:t>
      </w:r>
      <w:r>
        <w:rPr>
          <w:rFonts w:ascii="Calibri" w:eastAsia="Calibri" w:hAnsi="Calibri" w:cs="Calibri"/>
          <w:b/>
          <w:sz w:val="21"/>
        </w:rPr>
        <w:t>not</w:t>
      </w:r>
      <w:r>
        <w:rPr>
          <w:rFonts w:ascii="Calibri" w:eastAsia="Calibri" w:hAnsi="Calibri" w:cs="Calibri"/>
          <w:sz w:val="21"/>
        </w:rPr>
        <w:t xml:space="preserve"> change the pooled unique-gene ratio (6.43-fold to 6.83-fold across progressive exclusion; male counts 90 → 82).</w:t>
      </w:r>
      <w:r>
        <w:rPr>
          <w:rFonts w:ascii="Calibri" w:eastAsia="Calibri" w:hAnsi="Calibri" w:cs="Calibri"/>
          <w:sz w:val="21"/>
        </w:rPr>
        <w:t xml:space="preserve"> The two quantities are distinct: the housekeeping class explains the breadth of the male response but not the pooled gene </w:t>
      </w:r>
      <w:r>
        <w:rPr>
          <w:rFonts w:ascii="Calibri" w:eastAsia="Calibri" w:hAnsi="Calibri" w:cs="Calibri"/>
          <w:sz w:val="21"/>
        </w:rPr>
        <w:t>number</w:t>
      </w:r>
      <w:r>
        <w:rPr>
          <w:rFonts w:ascii="Calibri" w:eastAsia="Calibri" w:hAnsi="Calibri" w:cs="Calibri"/>
          <w:sz w:val="21"/>
        </w:rPr>
        <w:t>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2757730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7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Figure 12. </w:t>
      </w:r>
      <w:r>
        <w:rPr>
          <w:rFonts w:ascii="Calibri" w:eastAsia="Calibri" w:hAnsi="Calibri" w:cs="Calibri"/>
          <w:sz w:val="18"/>
        </w:rPr>
        <w:t>Effect of progressively excluding mitochondrial, respiratory-chain</w:t>
      </w:r>
      <w:r>
        <w:rPr>
          <w:rFonts w:ascii="Calibri" w:eastAsia="Calibri" w:hAnsi="Calibri" w:cs="Calibri"/>
          <w:sz w:val="18"/>
        </w:rPr>
        <w:t>,</w:t>
      </w:r>
      <w:r>
        <w:rPr>
          <w:rFonts w:ascii="Calibri" w:eastAsia="Calibri" w:hAnsi="Calibri" w:cs="Calibri"/>
          <w:sz w:val="18"/>
        </w:rPr>
        <w:t xml:space="preserve"> and ribosomal genes on the pooled male:female ratio.</w:t>
      </w:r>
      <w:r>
        <w:rPr>
          <w:rFonts w:ascii="Calibri" w:eastAsia="Calibri" w:hAnsi="Calibri" w:cs="Calibri"/>
          <w:sz w:val="18"/>
        </w:rPr>
        <w:t xml:space="preserve"> The ratio </w:t>
      </w:r>
      <w:r>
        <w:rPr>
          <w:rFonts w:ascii="Calibri" w:eastAsia="Calibri" w:hAnsi="Calibri" w:cs="Calibri"/>
          <w:sz w:val="18"/>
        </w:rPr>
        <w:t>remained</w:t>
      </w:r>
      <w:r>
        <w:rPr>
          <w:rFonts w:ascii="Calibri" w:eastAsia="Calibri" w:hAnsi="Calibri" w:cs="Calibri"/>
          <w:sz w:val="18"/>
        </w:rPr>
        <w:t xml:space="preserve"> unchanged, indicating that these transcripts do not account for the pooled gene-count asymmetry.</w:t>
      </w:r>
    </w:p>
    <w:p>
      <w:pPr>
        <w:jc w:val="left"/>
      </w:pPr>
    </w:p>
    <w:p>
      <w:pPr>
        <w:pStyle w:val="Heading2"/>
        <w:jc w:val="left"/>
      </w:pPr>
      <w:r>
        <w:rPr>
          <w:rFonts w:ascii="Calibri" w:eastAsia="Calibri" w:hAnsi="Calibri" w:cs="Calibri"/>
          <w:b/>
          <w:color w:val="2E5C8A"/>
          <w:sz w:val="24"/>
        </w:rPr>
        <w:t>3.5 Leading genes in each sex coincide with technical covariates</w:t>
      </w:r>
    </w:p>
    <w:p/>
    <w:p>
      <w:pPr>
        <w:jc w:val="both"/>
      </w:pPr>
      <w:r>
        <w:rPr>
          <w:rFonts w:ascii="Calibri" w:eastAsia="Calibri" w:hAnsi="Calibri" w:cs="Calibri"/>
          <w:b/>
          <w:sz w:val="21"/>
        </w:rPr>
        <w:t>In males</w:t>
      </w:r>
      <w:r>
        <w:rPr>
          <w:rFonts w:ascii="Calibri" w:eastAsia="Calibri" w:hAnsi="Calibri" w:cs="Calibri"/>
          <w:sz w:val="21"/>
        </w:rPr>
        <w:t xml:space="preserve">, the most significant genes were mitochondrial and mitochondria-associated: mt:lrRNA (+3.05 log2FC), Cyt-c-p (cytochrome c), Mic10b (MICOS complex), </w:t>
      </w:r>
      <w:r>
        <w:rPr>
          <w:rFonts w:ascii="Calibri" w:eastAsia="Calibri" w:hAnsi="Calibri" w:cs="Calibri"/>
          <w:i/>
          <w:sz w:val="21"/>
        </w:rPr>
        <w:t>sun</w:t>
      </w:r>
      <w:r>
        <w:rPr>
          <w:rFonts w:ascii="Calibri" w:eastAsia="Calibri" w:hAnsi="Calibri" w:cs="Calibri"/>
          <w:sz w:val="21"/>
        </w:rPr>
        <w:t xml:space="preserve"> (ATP synthase subunit), VhaM9.7-a (V-ATPase subunit), alongside RNaseMRP:RNA, snRNA:7SKa and RpL41.</w:t>
      </w:r>
      <w:r>
        <w:rPr>
          <w:rFonts w:ascii="Calibri" w:eastAsia="Calibri" w:hAnsi="Calibri" w:cs="Calibri"/>
          <w:sz w:val="21"/>
        </w:rPr>
        <w:t xml:space="preserve"> This coincides with the 6.4-fold difference in mitochondrial content between male treatment arms, absent in females, where mt:lrRNA showed no effect (−0.03).</w:t>
      </w:r>
      <w:r>
        <w:rPr>
          <w:rFonts w:ascii="Calibri" w:eastAsia="Calibri" w:hAnsi="Calibri" w:cs="Calibri"/>
          <w:sz w:val="21"/>
        </w:rPr>
        <w:t xml:space="preserve"> RpL41 is an exception worth noting: it is named by Baker et al.</w:t>
      </w:r>
      <w:r>
        <w:rPr>
          <w:rFonts w:ascii="Calibri" w:eastAsia="Calibri" w:hAnsi="Calibri" w:cs="Calibri"/>
          <w:sz w:val="21"/>
        </w:rPr>
        <w:t xml:space="preserve"> among their globally cocaine-responsive genes and replicates here.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 xml:space="preserve">Pathway enrichment showed </w:t>
      </w:r>
      <w:r>
        <w:rPr>
          <w:rFonts w:ascii="Calibri" w:eastAsia="Calibri" w:hAnsi="Calibri" w:cs="Calibri"/>
          <w:sz w:val="21"/>
        </w:rPr>
        <w:t>a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>similar</w:t>
      </w:r>
      <w:r>
        <w:rPr>
          <w:rFonts w:ascii="Calibri" w:eastAsia="Calibri" w:hAnsi="Calibri" w:cs="Calibri"/>
          <w:sz w:val="21"/>
        </w:rPr>
        <w:t xml:space="preserve"> pattern.</w:t>
      </w:r>
      <w:r>
        <w:rPr>
          <w:rFonts w:ascii="Calibri" w:eastAsia="Calibri" w:hAnsi="Calibri" w:cs="Calibri"/>
          <w:sz w:val="21"/>
        </w:rPr>
        <w:t xml:space="preserve"> Oxidative phosphorylation was the top enriched term in three separate male clusters</w:t>
      </w:r>
      <w:r>
        <w:rPr>
          <w:rFonts w:ascii="Calibri" w:eastAsia="Calibri" w:hAnsi="Calibri" w:cs="Calibri"/>
          <w:sz w:val="21"/>
        </w:rPr>
        <w:t>:</w:t>
      </w:r>
      <w:r>
        <w:rPr>
          <w:rFonts w:ascii="Calibri" w:eastAsia="Calibri" w:hAnsi="Calibri" w:cs="Calibri"/>
          <w:sz w:val="21"/>
        </w:rPr>
        <w:t xml:space="preserve"> dopaminergic </w:t>
      </w:r>
      <w:r>
        <w:rPr>
          <w:rFonts w:ascii="Calibri" w:eastAsia="Calibri" w:hAnsi="Calibri" w:cs="Calibri"/>
          <w:sz w:val="21"/>
        </w:rPr>
        <w:t>neurones</w:t>
      </w:r>
      <w:r>
        <w:rPr>
          <w:rFonts w:ascii="Calibri" w:eastAsia="Calibri" w:hAnsi="Calibri" w:cs="Calibri"/>
          <w:sz w:val="21"/>
        </w:rPr>
        <w:t xml:space="preserve"> (adjusted </w:t>
      </w:r>
      <w:r>
        <w:rPr>
          <w:rFonts w:ascii="Calibri" w:eastAsia="Calibri" w:hAnsi="Calibri" w:cs="Calibri"/>
          <w:i/>
          <w:sz w:val="21"/>
        </w:rPr>
        <w:t>p</w:t>
      </w:r>
      <w:r>
        <w:rPr>
          <w:rFonts w:ascii="Calibri" w:eastAsia="Calibri" w:hAnsi="Calibri" w:cs="Calibri"/>
          <w:sz w:val="21"/>
        </w:rPr>
        <w:t xml:space="preserve"> = 5.4 × 10⁻⁸), Kenyon cells, and neuropeptide/cholinergic </w:t>
      </w:r>
      <w:r>
        <w:rPr>
          <w:rFonts w:ascii="Calibri" w:eastAsia="Calibri" w:hAnsi="Calibri" w:cs="Calibri"/>
          <w:sz w:val="21"/>
        </w:rPr>
        <w:t>neurones,</w:t>
      </w:r>
      <w:r>
        <w:rPr>
          <w:rFonts w:ascii="Calibri" w:eastAsia="Calibri" w:hAnsi="Calibri" w:cs="Calibri"/>
          <w:sz w:val="21"/>
        </w:rPr>
        <w:t xml:space="preserve"> accompanied by mitochondrial ATP synthesis, respiratory electron transport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and iron–sulfur cluster binding.</w:t>
      </w:r>
      <w:r>
        <w:rPr>
          <w:rFonts w:ascii="Calibri" w:eastAsia="Calibri" w:hAnsi="Calibri" w:cs="Calibri"/>
          <w:sz w:val="21"/>
        </w:rPr>
        <w:t xml:space="preserve"> No respiration term reached significance in any female cluster; female enrichments were axon guidance, synaptic target recognition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and phototransduction.</w:t>
      </w:r>
      <w:r>
        <w:rPr>
          <w:rFonts w:ascii="Calibri" w:eastAsia="Calibri" w:hAnsi="Calibri" w:cs="Calibri"/>
          <w:sz w:val="21"/>
        </w:rPr>
        <w:t xml:space="preserve"> One respiratory subunit (UQCR-6.4) </w:t>
      </w:r>
      <w:r>
        <w:rPr>
          <w:rFonts w:ascii="Calibri" w:eastAsia="Calibri" w:hAnsi="Calibri" w:cs="Calibri"/>
          <w:sz w:val="21"/>
        </w:rPr>
        <w:t>appeared</w:t>
      </w:r>
      <w:r>
        <w:rPr>
          <w:rFonts w:ascii="Calibri" w:eastAsia="Calibri" w:hAnsi="Calibri" w:cs="Calibri"/>
          <w:sz w:val="21"/>
        </w:rPr>
        <w:t xml:space="preserve"> among the top female genes, so the contrast </w:t>
      </w:r>
      <w:r>
        <w:rPr>
          <w:rFonts w:ascii="Calibri" w:eastAsia="Calibri" w:hAnsi="Calibri" w:cs="Calibri"/>
          <w:sz w:val="21"/>
        </w:rPr>
        <w:t>was</w:t>
      </w:r>
      <w:r>
        <w:rPr>
          <w:rFonts w:ascii="Calibri" w:eastAsia="Calibri" w:hAnsi="Calibri" w:cs="Calibri"/>
          <w:sz w:val="21"/>
        </w:rPr>
        <w:t xml:space="preserve"> at </w:t>
      </w:r>
      <w:r>
        <w:rPr>
          <w:rFonts w:ascii="Calibri" w:eastAsia="Calibri" w:hAnsi="Calibri" w:cs="Calibri"/>
          <w:sz w:val="21"/>
        </w:rPr>
        <w:t xml:space="preserve">the </w:t>
      </w:r>
      <w:r>
        <w:rPr>
          <w:rFonts w:ascii="Calibri" w:eastAsia="Calibri" w:hAnsi="Calibri" w:cs="Calibri"/>
          <w:sz w:val="21"/>
        </w:rPr>
        <w:t>pathway level rather than absolute.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b/>
          <w:sz w:val="21"/>
        </w:rPr>
        <w:t>In females</w:t>
      </w:r>
      <w:r>
        <w:rPr>
          <w:rFonts w:ascii="Calibri" w:eastAsia="Calibri" w:hAnsi="Calibri" w:cs="Calibri"/>
          <w:sz w:val="21"/>
        </w:rPr>
        <w:t>, the leading genes were yolk proteins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Yp1–Yp3.</w:t>
      </w:r>
      <w:r>
        <w:rPr>
          <w:rFonts w:ascii="Calibri" w:eastAsia="Calibri" w:hAnsi="Calibri" w:cs="Calibri"/>
          <w:sz w:val="21"/>
        </w:rPr>
        <w:t xml:space="preserve"> These are ambient RNA rather than cellular expression: detection rate was 27.2% of cells in Female_Cocaine_R2 against 3.2–4.9% in sucrose samples, with Female_Cocaine_R1 intermediate at 7.0%, and the signal was distributed across all cell types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including photoreceptors (Yp3 mean 0.663) and Kenyon cells (0.226) — populations that do not transcribe yolk proteins.</w:t>
      </w:r>
      <w:r>
        <w:rPr>
          <w:rFonts w:ascii="Calibri" w:eastAsia="Calibri" w:hAnsi="Calibri" w:cs="Calibri"/>
          <w:sz w:val="21"/>
        </w:rPr>
        <w:t xml:space="preserve"> This is the signature of free transcripts from lysed fat body partitioning into droplets (Young and Behjati 2020), with one dissection disproportionately affected.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i/>
          <w:sz w:val="21"/>
        </w:rPr>
        <w:t>ninaE</w:t>
      </w:r>
      <w:r>
        <w:rPr>
          <w:rFonts w:ascii="Calibri" w:eastAsia="Calibri" w:hAnsi="Calibri" w:cs="Calibri"/>
          <w:sz w:val="21"/>
        </w:rPr>
        <w:t xml:space="preserve"> (Rh1 rhodopsin) was also differentially expressed (+1.29 in males), in the opposite direction to the published </w:t>
      </w:r>
      <w:r>
        <w:rPr>
          <w:rFonts w:ascii="Calibri" w:eastAsia="Calibri" w:hAnsi="Calibri" w:cs="Calibri"/>
          <w:sz w:val="21"/>
        </w:rPr>
        <w:t>results</w:t>
      </w:r>
      <w:r>
        <w:rPr>
          <w:rFonts w:ascii="Calibri" w:eastAsia="Calibri" w:hAnsi="Calibri" w:cs="Calibri"/>
          <w:sz w:val="21"/>
        </w:rPr>
        <w:t>.</w:t>
      </w:r>
      <w:r>
        <w:rPr>
          <w:rFonts w:ascii="Calibri" w:eastAsia="Calibri" w:hAnsi="Calibri" w:cs="Calibri"/>
          <w:sz w:val="21"/>
        </w:rPr>
        <w:t xml:space="preserve"> As a photoreceptor gene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its abundance in a brain dissociation depends on retinal carry-over.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3298698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29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Figure 13. </w:t>
      </w:r>
      <w:r>
        <w:rPr>
          <w:rFonts w:ascii="Calibri" w:eastAsia="Calibri" w:hAnsi="Calibri" w:cs="Calibri"/>
          <w:sz w:val="18"/>
        </w:rPr>
        <w:t xml:space="preserve">Pathway enrichment for cocaine-responsive genes in male dopaminergic </w:t>
      </w:r>
      <w:r>
        <w:rPr>
          <w:rFonts w:ascii="Calibri" w:eastAsia="Calibri" w:hAnsi="Calibri" w:cs="Calibri"/>
          <w:sz w:val="18"/>
        </w:rPr>
        <w:t>neurones</w:t>
      </w:r>
      <w:r>
        <w:rPr>
          <w:rFonts w:ascii="Calibri" w:eastAsia="Calibri" w:hAnsi="Calibri" w:cs="Calibri"/>
          <w:sz w:val="18"/>
        </w:rPr>
        <w:t>.</w:t>
      </w:r>
      <w:r>
        <w:rPr>
          <w:rFonts w:ascii="Calibri" w:eastAsia="Calibri" w:hAnsi="Calibri" w:cs="Calibri"/>
          <w:sz w:val="18"/>
        </w:rPr>
        <w:t xml:space="preserve"> The respiratory chain </w:t>
      </w:r>
      <w:r>
        <w:rPr>
          <w:rFonts w:ascii="Calibri" w:eastAsia="Calibri" w:hAnsi="Calibri" w:cs="Calibri"/>
          <w:sz w:val="18"/>
        </w:rPr>
        <w:t>is dominant</w:t>
      </w:r>
      <w:r>
        <w:rPr>
          <w:rFonts w:ascii="Calibri" w:eastAsia="Calibri" w:hAnsi="Calibri" w:cs="Calibri"/>
          <w:sz w:val="18"/>
        </w:rPr>
        <w:t>.</w:t>
      </w:r>
      <w:r>
        <w:rPr>
          <w:rFonts w:ascii="Calibri" w:eastAsia="Calibri" w:hAnsi="Calibri" w:cs="Calibri"/>
          <w:sz w:val="18"/>
        </w:rPr>
        <w:t xml:space="preserve"> </w:t>
      </w:r>
      <w:r>
        <w:rPr>
          <w:rFonts w:ascii="Calibri" w:eastAsia="Calibri" w:hAnsi="Calibri" w:cs="Calibri"/>
          <w:sz w:val="18"/>
        </w:rPr>
        <w:t>The dashed</w:t>
      </w:r>
      <w:r>
        <w:rPr>
          <w:rFonts w:ascii="Calibri" w:eastAsia="Calibri" w:hAnsi="Calibri" w:cs="Calibri"/>
          <w:sz w:val="18"/>
        </w:rPr>
        <w:t xml:space="preserve"> line marks </w:t>
      </w:r>
      <w:r>
        <w:rPr>
          <w:rFonts w:ascii="Calibri" w:eastAsia="Calibri" w:hAnsi="Calibri" w:cs="Calibri"/>
          <w:sz w:val="18"/>
        </w:rPr>
        <w:t xml:space="preserve">the </w:t>
      </w:r>
      <w:r>
        <w:rPr>
          <w:rFonts w:ascii="Calibri" w:eastAsia="Calibri" w:hAnsi="Calibri" w:cs="Calibri"/>
          <w:sz w:val="18"/>
        </w:rPr>
        <w:t>adjusted p = 0.05.</w:t>
      </w:r>
    </w:p>
    <w:p>
      <w:pPr>
        <w:jc w:val="left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3298698"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29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Figure 14. </w:t>
      </w:r>
      <w:r>
        <w:rPr>
          <w:rFonts w:ascii="Calibri" w:eastAsia="Calibri" w:hAnsi="Calibri" w:cs="Calibri"/>
          <w:sz w:val="18"/>
        </w:rPr>
        <w:t>Pathway enrichment for cocaine-responsive genes in female Kenyon cells. No respiration terms appear.</w:t>
      </w:r>
    </w:p>
    <w:p>
      <w:pPr>
        <w:jc w:val="left"/>
      </w:pPr>
    </w:p>
    <w:p>
      <w:pPr>
        <w:pStyle w:val="Heading2"/>
        <w:jc w:val="left"/>
      </w:pPr>
      <w:r>
        <w:rPr>
          <w:rFonts w:ascii="Calibri" w:eastAsia="Calibri" w:hAnsi="Calibri" w:cs="Calibri"/>
          <w:b/>
          <w:color w:val="2E5C8A"/>
          <w:sz w:val="24"/>
        </w:rPr>
        <w:t>3.6 No individual gene shows a significant sex × treatment interaction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 xml:space="preserve">Fitting </w:t>
      </w:r>
      <w:r>
        <w:rPr>
          <w:rFonts w:ascii="Calibri" w:eastAsia="Calibri" w:hAnsi="Calibri" w:cs="Calibri"/>
          <w:sz w:val="21"/>
        </w:rPr>
        <w:t xml:space="preserve">the </w:t>
      </w:r>
      <w:r>
        <w:rPr>
          <w:rFonts w:ascii="Calibri" w:eastAsia="Calibri" w:hAnsi="Calibri" w:cs="Calibri"/>
          <w:sz w:val="21"/>
        </w:rPr>
        <w:t>expression as sex + treatment + sex:treatment to pseudobulk profiles (9,397 genes, 8 samples) returned no genes with a significant interaction term at FDR &lt; 0.05, and none with a significant main effect of treatment.</w:t>
      </w:r>
      <w:r>
        <w:rPr>
          <w:rFonts w:ascii="Calibri" w:eastAsia="Calibri" w:hAnsi="Calibri" w:cs="Calibri"/>
          <w:sz w:val="21"/>
        </w:rPr>
        <w:t xml:space="preserve"> Of the 90 genes called significant in males by separate per-sex testing, none showed a significant interaction.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>With four residual degrees of freedom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this is an expected outcome rather than evidence of absence.</w:t>
      </w:r>
      <w:r>
        <w:rPr>
          <w:rFonts w:ascii="Calibri" w:eastAsia="Calibri" w:hAnsi="Calibri" w:cs="Calibri"/>
          <w:sz w:val="21"/>
        </w:rPr>
        <w:t xml:space="preserve"> Genes with the largest interaction coefficients — Mic10b (2.57), </w:t>
      </w:r>
      <w:r>
        <w:rPr>
          <w:rFonts w:ascii="Calibri" w:eastAsia="Calibri" w:hAnsi="Calibri" w:cs="Calibri"/>
          <w:i/>
          <w:sz w:val="21"/>
        </w:rPr>
        <w:t>sun</w:t>
      </w:r>
      <w:r>
        <w:rPr>
          <w:rFonts w:ascii="Calibri" w:eastAsia="Calibri" w:hAnsi="Calibri" w:cs="Calibri"/>
          <w:sz w:val="21"/>
        </w:rPr>
        <w:t xml:space="preserve"> (1.19), </w:t>
      </w:r>
      <w:r>
        <w:rPr>
          <w:rFonts w:ascii="Calibri" w:eastAsia="Calibri" w:hAnsi="Calibri" w:cs="Calibri"/>
          <w:sz w:val="21"/>
        </w:rPr>
        <w:t xml:space="preserve">and </w:t>
      </w:r>
      <w:r>
        <w:rPr>
          <w:rFonts w:ascii="Calibri" w:eastAsia="Calibri" w:hAnsi="Calibri" w:cs="Calibri"/>
          <w:sz w:val="21"/>
        </w:rPr>
        <w:t>Lztr1 (1.02) — are candidates but are not distinguishable from noise at this replicate number.</w:t>
      </w:r>
      <w:r>
        <w:rPr>
          <w:rFonts w:ascii="Calibri" w:eastAsia="Calibri" w:hAnsi="Calibri" w:cs="Calibri"/>
          <w:sz w:val="21"/>
        </w:rPr>
        <w:t xml:space="preserve"> The finding is that the design supports dimorphism in aggregate but cannot establish it for any individual gene, and this limitation applies equally to the original analysis.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3478602"/>
            <wp:docPr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47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Figure 15. </w:t>
      </w:r>
      <w:r>
        <w:rPr>
          <w:rFonts w:ascii="Calibri" w:eastAsia="Calibri" w:hAnsi="Calibri" w:cs="Calibri"/>
          <w:sz w:val="18"/>
        </w:rPr>
        <w:t>Sex × treatment interaction coefficients from a pseudobulk linear model.</w:t>
      </w:r>
      <w:r>
        <w:rPr>
          <w:rFonts w:ascii="Calibri" w:eastAsia="Calibri" w:hAnsi="Calibri" w:cs="Calibri"/>
          <w:sz w:val="18"/>
        </w:rPr>
        <w:t xml:space="preserve"> Positive values indicate a larger cocaine effect in males.</w:t>
      </w:r>
      <w:r>
        <w:rPr>
          <w:rFonts w:ascii="Calibri" w:eastAsia="Calibri" w:hAnsi="Calibri" w:cs="Calibri"/>
          <w:sz w:val="18"/>
        </w:rPr>
        <w:t xml:space="preserve"> The ten most significant genes are labelled; none </w:t>
      </w:r>
      <w:r>
        <w:rPr>
          <w:rFonts w:ascii="Calibri" w:eastAsia="Calibri" w:hAnsi="Calibri" w:cs="Calibri"/>
          <w:sz w:val="18"/>
        </w:rPr>
        <w:t>survived</w:t>
      </w:r>
      <w:r>
        <w:rPr>
          <w:rFonts w:ascii="Calibri" w:eastAsia="Calibri" w:hAnsi="Calibri" w:cs="Calibri"/>
          <w:sz w:val="18"/>
        </w:rPr>
        <w:t xml:space="preserve"> multiple-testing correction.</w:t>
      </w:r>
    </w:p>
    <w:p>
      <w:pPr>
        <w:jc w:val="left"/>
      </w:pPr>
    </w:p>
    <w:p>
      <w:pPr>
        <w:pStyle w:val="Heading2"/>
        <w:jc w:val="left"/>
      </w:pPr>
      <w:r>
        <w:rPr>
          <w:rFonts w:ascii="Calibri" w:eastAsia="Calibri" w:hAnsi="Calibri" w:cs="Calibri"/>
          <w:b/>
          <w:color w:val="2E5C8A"/>
          <w:sz w:val="24"/>
        </w:rPr>
        <w:t>3.7 The response ranking is unstable at matched statistical power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 xml:space="preserve">Cluster size correlated with </w:t>
      </w:r>
      <w:r>
        <w:rPr>
          <w:rFonts w:ascii="Calibri" w:eastAsia="Calibri" w:hAnsi="Calibri" w:cs="Calibri"/>
          <w:sz w:val="21"/>
        </w:rPr>
        <w:t>the number of DEGs</w:t>
      </w:r>
      <w:r>
        <w:rPr>
          <w:rFonts w:ascii="Calibri" w:eastAsia="Calibri" w:hAnsi="Calibri" w:cs="Calibri"/>
          <w:sz w:val="21"/>
        </w:rPr>
        <w:t xml:space="preserve"> (Spearman ρ = 0.581)</w:t>
      </w:r>
      <w:r>
        <w:rPr>
          <w:rFonts w:ascii="Calibri" w:eastAsia="Calibri" w:hAnsi="Calibri" w:cs="Calibri"/>
          <w:sz w:val="21"/>
        </w:rPr>
        <w:t>; therefore,</w:t>
      </w:r>
      <w:r>
        <w:rPr>
          <w:rFonts w:ascii="Calibri" w:eastAsia="Calibri" w:hAnsi="Calibri" w:cs="Calibri"/>
          <w:sz w:val="21"/>
        </w:rPr>
        <w:t xml:space="preserve"> a raw ranking partly measures statistical power.</w:t>
      </w:r>
      <w:r>
        <w:rPr>
          <w:rFonts w:ascii="Calibri" w:eastAsia="Calibri" w:hAnsi="Calibri" w:cs="Calibri"/>
          <w:sz w:val="21"/>
        </w:rPr>
        <w:t xml:space="preserve"> Normalised per 1,000 cells, surface glia and fat body ranked highest among </w:t>
      </w:r>
      <w:r>
        <w:rPr>
          <w:rFonts w:ascii="Calibri" w:eastAsia="Calibri" w:hAnsi="Calibri" w:cs="Calibri"/>
          <w:sz w:val="21"/>
        </w:rPr>
        <w:t xml:space="preserve">the </w:t>
      </w:r>
      <w:r>
        <w:rPr>
          <w:rFonts w:ascii="Calibri" w:eastAsia="Calibri" w:hAnsi="Calibri" w:cs="Calibri"/>
          <w:sz w:val="21"/>
        </w:rPr>
        <w:t>identified types (58.4)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while Kenyon cells fell from first to seventh (25.1).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 xml:space="preserve">Downsampling every cluster to 400 cells across three seeds gave: unannotated Eaat1-high cluster 18.0 ± 7.5, central brain B cholinergic </w:t>
      </w:r>
      <w:r>
        <w:rPr>
          <w:rFonts w:ascii="Calibri" w:eastAsia="Calibri" w:hAnsi="Calibri" w:cs="Calibri"/>
          <w:sz w:val="21"/>
        </w:rPr>
        <w:t>neurones</w:t>
      </w:r>
      <w:r>
        <w:rPr>
          <w:rFonts w:ascii="Calibri" w:eastAsia="Calibri" w:hAnsi="Calibri" w:cs="Calibri"/>
          <w:sz w:val="21"/>
        </w:rPr>
        <w:t xml:space="preserve"> 12.7 ± 3.4, surface glia and fat body 11.7 ± 2.6, Kenyon cells 7.3 ± 2.6.</w:t>
      </w:r>
      <w:r>
        <w:rPr>
          <w:rFonts w:ascii="Calibri" w:eastAsia="Calibri" w:hAnsi="Calibri" w:cs="Calibri"/>
          <w:sz w:val="21"/>
        </w:rPr>
        <w:t xml:space="preserve"> Standard deviations were large relative to </w:t>
      </w:r>
      <w:r>
        <w:rPr>
          <w:rFonts w:ascii="Calibri" w:eastAsia="Calibri" w:hAnsi="Calibri" w:cs="Calibri"/>
          <w:sz w:val="21"/>
        </w:rPr>
        <w:t>the means; therefore,</w:t>
      </w:r>
      <w:r>
        <w:rPr>
          <w:rFonts w:ascii="Calibri" w:eastAsia="Calibri" w:hAnsi="Calibri" w:cs="Calibri"/>
          <w:sz w:val="21"/>
        </w:rPr>
        <w:t xml:space="preserve"> ordering beyond the first few positions </w:t>
      </w:r>
      <w:r>
        <w:rPr>
          <w:rFonts w:ascii="Calibri" w:eastAsia="Calibri" w:hAnsi="Calibri" w:cs="Calibri"/>
          <w:sz w:val="21"/>
        </w:rPr>
        <w:t>was</w:t>
      </w:r>
      <w:r>
        <w:rPr>
          <w:rFonts w:ascii="Calibri" w:eastAsia="Calibri" w:hAnsi="Calibri" w:cs="Calibri"/>
          <w:sz w:val="21"/>
        </w:rPr>
        <w:t xml:space="preserve"> not stable.</w:t>
      </w:r>
      <w:r>
        <w:rPr>
          <w:rFonts w:ascii="Calibri" w:eastAsia="Calibri" w:hAnsi="Calibri" w:cs="Calibri"/>
          <w:sz w:val="21"/>
        </w:rPr>
        <w:t xml:space="preserve"> Surface glia </w:t>
      </w:r>
      <w:r>
        <w:rPr>
          <w:rFonts w:ascii="Calibri" w:eastAsia="Calibri" w:hAnsi="Calibri" w:cs="Calibri"/>
          <w:sz w:val="21"/>
        </w:rPr>
        <w:t>was</w:t>
      </w:r>
      <w:r>
        <w:rPr>
          <w:rFonts w:ascii="Calibri" w:eastAsia="Calibri" w:hAnsi="Calibri" w:cs="Calibri"/>
          <w:sz w:val="21"/>
        </w:rPr>
        <w:t xml:space="preserve"> the only cell type ranking highly under all three approaches.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4711249"/>
            <wp:docPr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71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Figure 16. </w:t>
      </w:r>
      <w:r>
        <w:rPr>
          <w:rFonts w:ascii="Calibri" w:eastAsia="Calibri" w:hAnsi="Calibri" w:cs="Calibri"/>
          <w:sz w:val="18"/>
        </w:rPr>
        <w:t>Cocaine response at matched statistical power: every cluster downsampled to 400 cells, mean ± SD over three random seeds.</w:t>
      </w:r>
      <w:r>
        <w:rPr>
          <w:rFonts w:ascii="Calibri" w:eastAsia="Calibri" w:hAnsi="Calibri" w:cs="Calibri"/>
          <w:sz w:val="18"/>
        </w:rPr>
        <w:t xml:space="preserve"> The highest-ranking cluster is one whose identity could not be resolved; among </w:t>
      </w:r>
      <w:r>
        <w:rPr>
          <w:rFonts w:ascii="Calibri" w:eastAsia="Calibri" w:hAnsi="Calibri" w:cs="Calibri"/>
          <w:sz w:val="18"/>
        </w:rPr>
        <w:t xml:space="preserve">the </w:t>
      </w:r>
      <w:r>
        <w:rPr>
          <w:rFonts w:ascii="Calibri" w:eastAsia="Calibri" w:hAnsi="Calibri" w:cs="Calibri"/>
          <w:sz w:val="18"/>
        </w:rPr>
        <w:t>identified types</w:t>
      </w:r>
      <w:r>
        <w:rPr>
          <w:rFonts w:ascii="Calibri" w:eastAsia="Calibri" w:hAnsi="Calibri" w:cs="Calibri"/>
          <w:sz w:val="18"/>
        </w:rPr>
        <w:t>,</w:t>
      </w:r>
      <w:r>
        <w:rPr>
          <w:rFonts w:ascii="Calibri" w:eastAsia="Calibri" w:hAnsi="Calibri" w:cs="Calibri"/>
          <w:sz w:val="18"/>
        </w:rPr>
        <w:t xml:space="preserve"> the leaders are central brain B cholinergic </w:t>
      </w:r>
      <w:r>
        <w:rPr>
          <w:rFonts w:ascii="Calibri" w:eastAsia="Calibri" w:hAnsi="Calibri" w:cs="Calibri"/>
          <w:sz w:val="18"/>
        </w:rPr>
        <w:t>neurones</w:t>
      </w:r>
      <w:r>
        <w:rPr>
          <w:rFonts w:ascii="Calibri" w:eastAsia="Calibri" w:hAnsi="Calibri" w:cs="Calibri"/>
          <w:sz w:val="18"/>
        </w:rPr>
        <w:t xml:space="preserve"> and surface glia.</w:t>
      </w:r>
    </w:p>
    <w:p>
      <w:pPr>
        <w:jc w:val="left"/>
      </w:pPr>
    </w:p>
    <w:p>
      <w:pPr>
        <w:pStyle w:val="Heading2"/>
        <w:jc w:val="left"/>
      </w:pPr>
      <w:r>
        <w:rPr>
          <w:rFonts w:ascii="Calibri" w:eastAsia="Calibri" w:hAnsi="Calibri" w:cs="Calibri"/>
          <w:b/>
          <w:color w:val="2E5C8A"/>
          <w:sz w:val="24"/>
        </w:rPr>
        <w:t>3.8 The female response is below its own background</w:t>
      </w:r>
    </w:p>
    <w:p/>
    <w:p>
      <w:r>
        <w:rPr>
          <w:rFonts w:ascii="Calibri" w:eastAsia="Calibri" w:hAnsi="Calibri" w:cs="Calibri"/>
          <w:b/>
          <w:sz w:val="18"/>
        </w:rPr>
        <w:t xml:space="preserve">Table 4. </w:t>
      </w:r>
      <w:r>
        <w:rPr>
          <w:rFonts w:ascii="Calibri" w:eastAsia="Calibri" w:hAnsi="Calibri" w:cs="Calibri"/>
          <w:sz w:val="18"/>
        </w:rPr>
        <w:t>Differentially expressed genes under the true treatment split and under two independent null contrasts, within each sex.</w:t>
      </w:r>
      <w:r>
        <w:rPr>
          <w:rFonts w:ascii="Calibri" w:eastAsia="Calibri" w:hAnsi="Calibri" w:cs="Calibri"/>
          <w:sz w:val="18"/>
        </w:rPr>
        <w:t xml:space="preserve"> All contrasts use identical cells, </w:t>
      </w:r>
      <w:r>
        <w:rPr>
          <w:rFonts w:ascii="Calibri" w:eastAsia="Calibri" w:hAnsi="Calibri" w:cs="Calibri"/>
          <w:sz w:val="18"/>
        </w:rPr>
        <w:t>tests,</w:t>
      </w:r>
      <w:r>
        <w:rPr>
          <w:rFonts w:ascii="Calibri" w:eastAsia="Calibri" w:hAnsi="Calibri" w:cs="Calibri"/>
          <w:sz w:val="18"/>
        </w:rPr>
        <w:t xml:space="preserve"> and thresholds.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495"/>
        <w:gridCol w:w="2616"/>
        <w:gridCol w:w="2819"/>
        <w:gridCol w:w="243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495" w:type="dxa"/>
            <w:shd w:val="clear" w:color="auto" w:fill="FFFFFF"/>
          </w:tcPr>
          <w:p>
            <w:r>
              <w:rPr>
                <w:rFonts w:ascii="Calibri" w:eastAsia="Calibri" w:hAnsi="Calibri" w:cs="Calibri"/>
                <w:b/>
                <w:sz w:val="18"/>
              </w:rPr>
              <w:t>Sex</w:t>
            </w:r>
          </w:p>
          <w:p/>
        </w:tc>
        <w:tc>
          <w:tcPr>
            <w:tcW w:w="2616" w:type="dxa"/>
            <w:shd w:val="clear" w:color="auto" w:fill="FFFFFF"/>
          </w:tcPr>
          <w:p>
            <w:r>
              <w:rPr>
                <w:rFonts w:ascii="Calibri" w:eastAsia="Calibri" w:hAnsi="Calibri" w:cs="Calibri"/>
                <w:b/>
                <w:sz w:val="18"/>
              </w:rPr>
              <w:t>Treatment (real)</w:t>
            </w:r>
          </w:p>
          <w:p/>
        </w:tc>
        <w:tc>
          <w:tcPr>
            <w:tcW w:w="2819" w:type="dxa"/>
            <w:shd w:val="clear" w:color="auto" w:fill="FFFFFF"/>
          </w:tcPr>
          <w:p>
            <w:r>
              <w:rPr>
                <w:rFonts w:ascii="Calibri" w:eastAsia="Calibri" w:hAnsi="Calibri" w:cs="Calibri"/>
                <w:b/>
                <w:sz w:val="18"/>
              </w:rPr>
              <w:t>Replicate axis (null)</w:t>
            </w:r>
          </w:p>
          <w:p/>
        </w:tc>
        <w:tc>
          <w:tcPr>
            <w:tcW w:w="2430" w:type="dxa"/>
            <w:shd w:val="clear" w:color="auto" w:fill="FFFFFF"/>
          </w:tcPr>
          <w:p>
            <w:r>
              <w:rPr>
                <w:rFonts w:ascii="Calibri" w:eastAsia="Calibri" w:hAnsi="Calibri" w:cs="Calibri"/>
                <w:b/>
                <w:sz w:val="18"/>
              </w:rPr>
              <w:t>Diagonal (null)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495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Male</w:t>
            </w:r>
          </w:p>
          <w:p/>
        </w:tc>
        <w:tc>
          <w:tcPr>
            <w:tcW w:w="2616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90</w:t>
            </w:r>
          </w:p>
          <w:p/>
        </w:tc>
        <w:tc>
          <w:tcPr>
            <w:tcW w:w="281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7</w:t>
            </w:r>
          </w:p>
          <w:p/>
        </w:tc>
        <w:tc>
          <w:tcPr>
            <w:tcW w:w="2430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14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495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Female</w:t>
            </w:r>
          </w:p>
          <w:p/>
        </w:tc>
        <w:tc>
          <w:tcPr>
            <w:tcW w:w="2616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14</w:t>
            </w:r>
          </w:p>
          <w:p/>
        </w:tc>
        <w:tc>
          <w:tcPr>
            <w:tcW w:w="281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39</w:t>
            </w:r>
          </w:p>
          <w:p/>
        </w:tc>
        <w:tc>
          <w:tcPr>
            <w:tcW w:w="2430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35</w:t>
            </w:r>
          </w:p>
          <w:p/>
        </w:tc>
      </w:tr>
    </w:tbl>
    <w:p/>
    <w:p/>
    <w:p>
      <w:pPr>
        <w:jc w:val="both"/>
      </w:pPr>
      <w:r>
        <w:rPr>
          <w:rFonts w:ascii="Calibri" w:eastAsia="Calibri" w:hAnsi="Calibri" w:cs="Calibri"/>
          <w:sz w:val="21"/>
        </w:rPr>
        <w:t>The male response exceeds both nulls by 6- to 13-fold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>and</w:t>
      </w:r>
      <w:r>
        <w:rPr>
          <w:rFonts w:ascii="Calibri" w:eastAsia="Calibri" w:hAnsi="Calibri" w:cs="Calibri"/>
          <w:sz w:val="21"/>
        </w:rPr>
        <w:t xml:space="preserve"> is specific to treatment.</w:t>
      </w:r>
      <w:r>
        <w:rPr>
          <w:rFonts w:ascii="Calibri" w:eastAsia="Calibri" w:hAnsi="Calibri" w:cs="Calibri"/>
          <w:sz w:val="21"/>
        </w:rPr>
        <w:t xml:space="preserve"> The female response falls below both.</w:t>
      </w:r>
      <w:r>
        <w:rPr>
          <w:rFonts w:ascii="Calibri" w:eastAsia="Calibri" w:hAnsi="Calibri" w:cs="Calibri"/>
          <w:sz w:val="21"/>
        </w:rPr>
        <w:t xml:space="preserve"> Any alternative grouping of the same four female samples yields more differentially expressed genes than the correct one, and this holds across thresholds (ratio of real to median null: 0.29 at |log2FC| &gt; 0.25, 0.25 at 0.5, 0.38 at 1.0).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 xml:space="preserve">Gene identity confirms </w:t>
      </w:r>
      <w:r>
        <w:rPr>
          <w:rFonts w:ascii="Calibri" w:eastAsia="Calibri" w:hAnsi="Calibri" w:cs="Calibri"/>
          <w:sz w:val="21"/>
        </w:rPr>
        <w:t>this</w:t>
      </w:r>
      <w:r>
        <w:rPr>
          <w:rFonts w:ascii="Calibri" w:eastAsia="Calibri" w:hAnsi="Calibri" w:cs="Calibri"/>
          <w:sz w:val="21"/>
        </w:rPr>
        <w:t xml:space="preserve"> pattern.</w:t>
      </w:r>
      <w:r>
        <w:rPr>
          <w:rFonts w:ascii="Calibri" w:eastAsia="Calibri" w:hAnsi="Calibri" w:cs="Calibri"/>
          <w:sz w:val="21"/>
        </w:rPr>
        <w:t xml:space="preserve"> Of the 90 male genes, </w:t>
      </w:r>
      <w:r>
        <w:rPr>
          <w:rFonts w:ascii="Calibri" w:eastAsia="Calibri" w:hAnsi="Calibri" w:cs="Calibri"/>
          <w:sz w:val="21"/>
        </w:rPr>
        <w:t>seven</w:t>
      </w:r>
      <w:r>
        <w:rPr>
          <w:rFonts w:ascii="Calibri" w:eastAsia="Calibri" w:hAnsi="Calibri" w:cs="Calibri"/>
          <w:sz w:val="21"/>
        </w:rPr>
        <w:t xml:space="preserve"> (8%) also appear in a null contrast, and all seven are structural or stress transcripts (28SrRNA-Psi:CR40596, 28SrRNA-Psi:CR45848, snRNA:7SKa, RNaseMRP:RNA, Hsp26, Hsp27, Rh2).</w:t>
      </w:r>
      <w:r>
        <w:rPr>
          <w:rFonts w:ascii="Calibri" w:eastAsia="Calibri" w:hAnsi="Calibri" w:cs="Calibri"/>
          <w:sz w:val="21"/>
        </w:rPr>
        <w:t xml:space="preserve"> Of the 14 female genes, </w:t>
      </w:r>
      <w:r>
        <w:rPr>
          <w:rFonts w:ascii="Calibri" w:eastAsia="Calibri" w:hAnsi="Calibri" w:cs="Calibri"/>
          <w:sz w:val="21"/>
        </w:rPr>
        <w:t>nine</w:t>
      </w:r>
      <w:r>
        <w:rPr>
          <w:rFonts w:ascii="Calibri" w:eastAsia="Calibri" w:hAnsi="Calibri" w:cs="Calibri"/>
          <w:sz w:val="21"/>
        </w:rPr>
        <w:t xml:space="preserve"> (64%) appear in a null, including Yp1, Yp2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and Yp3 — the ambient-RNA genes identified independently in §3.5.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 xml:space="preserve">The variance structures </w:t>
      </w:r>
      <w:r>
        <w:rPr>
          <w:rFonts w:ascii="Calibri" w:eastAsia="Calibri" w:hAnsi="Calibri" w:cs="Calibri"/>
          <w:sz w:val="21"/>
        </w:rPr>
        <w:t>were</w:t>
      </w:r>
      <w:r>
        <w:rPr>
          <w:rFonts w:ascii="Calibri" w:eastAsia="Calibri" w:hAnsi="Calibri" w:cs="Calibri"/>
          <w:sz w:val="21"/>
        </w:rPr>
        <w:t xml:space="preserve"> inverted between </w:t>
      </w:r>
      <w:r>
        <w:rPr>
          <w:rFonts w:ascii="Calibri" w:eastAsia="Calibri" w:hAnsi="Calibri" w:cs="Calibri"/>
          <w:sz w:val="21"/>
        </w:rPr>
        <w:t xml:space="preserve">the </w:t>
      </w:r>
      <w:r>
        <w:rPr>
          <w:rFonts w:ascii="Calibri" w:eastAsia="Calibri" w:hAnsi="Calibri" w:cs="Calibri"/>
          <w:sz w:val="21"/>
        </w:rPr>
        <w:t>sexes.</w:t>
      </w:r>
      <w:r>
        <w:rPr>
          <w:rFonts w:ascii="Calibri" w:eastAsia="Calibri" w:hAnsi="Calibri" w:cs="Calibri"/>
          <w:sz w:val="21"/>
        </w:rPr>
        <w:t xml:space="preserve"> In males, treatment </w:t>
      </w:r>
      <w:r>
        <w:rPr>
          <w:rFonts w:ascii="Calibri" w:eastAsia="Calibri" w:hAnsi="Calibri" w:cs="Calibri"/>
          <w:sz w:val="21"/>
        </w:rPr>
        <w:t>was</w:t>
      </w:r>
      <w:r>
        <w:rPr>
          <w:rFonts w:ascii="Calibri" w:eastAsia="Calibri" w:hAnsi="Calibri" w:cs="Calibri"/>
          <w:sz w:val="21"/>
        </w:rPr>
        <w:t xml:space="preserve"> the dominant source of variation; in females, the replicate axis </w:t>
      </w:r>
      <w:r>
        <w:rPr>
          <w:rFonts w:ascii="Calibri" w:eastAsia="Calibri" w:hAnsi="Calibri" w:cs="Calibri"/>
          <w:sz w:val="21"/>
        </w:rPr>
        <w:t>was</w:t>
      </w:r>
      <w:r>
        <w:rPr>
          <w:rFonts w:ascii="Calibri" w:eastAsia="Calibri" w:hAnsi="Calibri" w:cs="Calibri"/>
          <w:sz w:val="21"/>
        </w:rPr>
        <w:t xml:space="preserve">, and the female replicate contrast alone </w:t>
      </w:r>
      <w:r>
        <w:rPr>
          <w:rFonts w:ascii="Calibri" w:eastAsia="Calibri" w:hAnsi="Calibri" w:cs="Calibri"/>
          <w:sz w:val="21"/>
        </w:rPr>
        <w:t>yielded</w:t>
      </w:r>
      <w:r>
        <w:rPr>
          <w:rFonts w:ascii="Calibri" w:eastAsia="Calibri" w:hAnsi="Calibri" w:cs="Calibri"/>
          <w:sz w:val="21"/>
        </w:rPr>
        <w:t xml:space="preserve"> 5.6-fold more genes than the equivalent male contrast.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1969608"/>
            <wp:docPr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96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Figure 17. </w:t>
      </w:r>
      <w:r>
        <w:rPr>
          <w:rFonts w:ascii="Calibri" w:eastAsia="Calibri" w:hAnsi="Calibri" w:cs="Calibri"/>
          <w:sz w:val="18"/>
        </w:rPr>
        <w:t>Treatment effect versus its own background.</w:t>
      </w:r>
      <w:r>
        <w:rPr>
          <w:rFonts w:ascii="Calibri" w:eastAsia="Calibri" w:hAnsi="Calibri" w:cs="Calibri"/>
          <w:sz w:val="18"/>
        </w:rPr>
        <w:t xml:space="preserve"> Within each sex, four samples permit two independent null contrasts</w:t>
      </w:r>
      <w:r>
        <w:rPr>
          <w:rFonts w:ascii="Calibri" w:eastAsia="Calibri" w:hAnsi="Calibri" w:cs="Calibri"/>
          <w:sz w:val="18"/>
        </w:rPr>
        <w:t>, in addition to</w:t>
      </w:r>
      <w:r>
        <w:rPr>
          <w:rFonts w:ascii="Calibri" w:eastAsia="Calibri" w:hAnsi="Calibri" w:cs="Calibri"/>
          <w:sz w:val="18"/>
        </w:rPr>
        <w:t xml:space="preserve"> the treatment split.</w:t>
      </w:r>
      <w:r>
        <w:rPr>
          <w:rFonts w:ascii="Calibri" w:eastAsia="Calibri" w:hAnsi="Calibri" w:cs="Calibri"/>
          <w:sz w:val="18"/>
        </w:rPr>
        <w:t xml:space="preserve"> In males</w:t>
      </w:r>
      <w:r>
        <w:rPr>
          <w:rFonts w:ascii="Calibri" w:eastAsia="Calibri" w:hAnsi="Calibri" w:cs="Calibri"/>
          <w:sz w:val="18"/>
        </w:rPr>
        <w:t>,</w:t>
      </w:r>
      <w:r>
        <w:rPr>
          <w:rFonts w:ascii="Calibri" w:eastAsia="Calibri" w:hAnsi="Calibri" w:cs="Calibri"/>
          <w:sz w:val="18"/>
        </w:rPr>
        <w:t xml:space="preserve"> the treatment effect exceeds both nulls; in females</w:t>
      </w:r>
      <w:r>
        <w:rPr>
          <w:rFonts w:ascii="Calibri" w:eastAsia="Calibri" w:hAnsi="Calibri" w:cs="Calibri"/>
          <w:sz w:val="18"/>
        </w:rPr>
        <w:t>,</w:t>
      </w:r>
      <w:r>
        <w:rPr>
          <w:rFonts w:ascii="Calibri" w:eastAsia="Calibri" w:hAnsi="Calibri" w:cs="Calibri"/>
          <w:sz w:val="18"/>
        </w:rPr>
        <w:t xml:space="preserve"> both nulls exceed the treatment effect, and the replicate axis is the largest source of variation.</w:t>
      </w:r>
      <w:r>
        <w:rPr>
          <w:rFonts w:ascii="Calibri" w:eastAsia="Calibri" w:hAnsi="Calibri" w:cs="Calibri"/>
          <w:sz w:val="18"/>
        </w:rPr>
        <w:t xml:space="preserve"> </w:t>
      </w:r>
      <w:r>
        <w:rPr>
          <w:rFonts w:ascii="Calibri" w:eastAsia="Calibri" w:hAnsi="Calibri" w:cs="Calibri"/>
          <w:sz w:val="18"/>
        </w:rPr>
        <w:t xml:space="preserve">The </w:t>
      </w:r>
      <w:r>
        <w:rPr>
          <w:rFonts w:ascii="Calibri" w:eastAsia="Calibri" w:hAnsi="Calibri" w:cs="Calibri"/>
          <w:sz w:val="18"/>
        </w:rPr>
        <w:t xml:space="preserve">Y-axes are shared between </w:t>
      </w:r>
      <w:r>
        <w:rPr>
          <w:rFonts w:ascii="Calibri" w:eastAsia="Calibri" w:hAnsi="Calibri" w:cs="Calibri"/>
          <w:sz w:val="18"/>
        </w:rPr>
        <w:t xml:space="preserve">the </w:t>
      </w:r>
      <w:r>
        <w:rPr>
          <w:rFonts w:ascii="Calibri" w:eastAsia="Calibri" w:hAnsi="Calibri" w:cs="Calibri"/>
          <w:sz w:val="18"/>
        </w:rPr>
        <w:t>panels.</w:t>
      </w:r>
    </w:p>
    <w:p>
      <w:pPr>
        <w:jc w:val="left"/>
      </w:pPr>
    </w:p>
    <w:p>
      <w:pPr>
        <w:pStyle w:val="Heading2"/>
        <w:jc w:val="left"/>
      </w:pPr>
      <w:r>
        <w:rPr>
          <w:rFonts w:ascii="Calibri" w:eastAsia="Calibri" w:hAnsi="Calibri" w:cs="Calibri"/>
          <w:b/>
          <w:color w:val="2E5C8A"/>
          <w:sz w:val="24"/>
        </w:rPr>
        <w:t>3.9 Cell-level results are directionally corroborated at replicate level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 xml:space="preserve">Pseudobulk analysis (n = 2 versus 2) found no significant genes, as expected </w:t>
      </w:r>
      <w:r>
        <w:rPr>
          <w:rFonts w:ascii="Calibri" w:eastAsia="Calibri" w:hAnsi="Calibri" w:cs="Calibri"/>
          <w:sz w:val="21"/>
        </w:rPr>
        <w:t>for</w:t>
      </w:r>
      <w:r>
        <w:rPr>
          <w:rFonts w:ascii="Calibri" w:eastAsia="Calibri" w:hAnsi="Calibri" w:cs="Calibri"/>
          <w:sz w:val="21"/>
        </w:rPr>
        <w:t xml:space="preserve"> this replicate number.</w:t>
      </w:r>
      <w:r>
        <w:rPr>
          <w:rFonts w:ascii="Calibri" w:eastAsia="Calibri" w:hAnsi="Calibri" w:cs="Calibri"/>
          <w:sz w:val="21"/>
        </w:rPr>
        <w:t xml:space="preserve"> Direction agreement with the cell-level test was 100% in both sexes, with Spearman ρ = 0.776 in males (</w:t>
      </w:r>
      <w:r>
        <w:rPr>
          <w:rFonts w:ascii="Calibri" w:eastAsia="Calibri" w:hAnsi="Calibri" w:cs="Calibri"/>
          <w:i/>
          <w:sz w:val="21"/>
        </w:rPr>
        <w:t>p</w:t>
      </w:r>
      <w:r>
        <w:rPr>
          <w:rFonts w:ascii="Calibri" w:eastAsia="Calibri" w:hAnsi="Calibri" w:cs="Calibri"/>
          <w:sz w:val="21"/>
        </w:rPr>
        <w:t xml:space="preserve"> = 3.0 × 10⁻³) and 0.617 in females (</w:t>
      </w:r>
      <w:r>
        <w:rPr>
          <w:rFonts w:ascii="Calibri" w:eastAsia="Calibri" w:hAnsi="Calibri" w:cs="Calibri"/>
          <w:i/>
          <w:sz w:val="21"/>
        </w:rPr>
        <w:t>p</w:t>
      </w:r>
      <w:r>
        <w:rPr>
          <w:rFonts w:ascii="Calibri" w:eastAsia="Calibri" w:hAnsi="Calibri" w:cs="Calibri"/>
          <w:sz w:val="21"/>
        </w:rPr>
        <w:t xml:space="preserve"> = 7.7 × 10⁻²).</w:t>
      </w:r>
      <w:r>
        <w:rPr>
          <w:rFonts w:ascii="Calibri" w:eastAsia="Calibri" w:hAnsi="Calibri" w:cs="Calibri"/>
          <w:sz w:val="21"/>
        </w:rPr>
        <w:t xml:space="preserve"> The comparison was restricted to highly variable genes</w:t>
      </w:r>
      <w:r>
        <w:rPr>
          <w:rFonts w:ascii="Calibri" w:eastAsia="Calibri" w:hAnsi="Calibri" w:cs="Calibri"/>
          <w:sz w:val="21"/>
        </w:rPr>
        <w:t xml:space="preserve"> only</w:t>
      </w:r>
      <w:r>
        <w:rPr>
          <w:rFonts w:ascii="Calibri" w:eastAsia="Calibri" w:hAnsi="Calibri" w:cs="Calibri"/>
          <w:sz w:val="21"/>
        </w:rPr>
        <w:t>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4457700"/>
            <wp:docPr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Figure 18. </w:t>
      </w:r>
      <w:r>
        <w:rPr>
          <w:rFonts w:ascii="Calibri" w:eastAsia="Calibri" w:hAnsi="Calibri" w:cs="Calibri"/>
          <w:sz w:val="18"/>
        </w:rPr>
        <w:t xml:space="preserve">Concordance between cell-level and replicate-level fold changes for genes called significant at </w:t>
      </w:r>
      <w:r>
        <w:rPr>
          <w:rFonts w:ascii="Calibri" w:eastAsia="Calibri" w:hAnsi="Calibri" w:cs="Calibri"/>
          <w:sz w:val="18"/>
        </w:rPr>
        <w:t xml:space="preserve">the </w:t>
      </w:r>
      <w:r>
        <w:rPr>
          <w:rFonts w:ascii="Calibri" w:eastAsia="Calibri" w:hAnsi="Calibri" w:cs="Calibri"/>
          <w:sz w:val="18"/>
        </w:rPr>
        <w:t>cell level in males.</w:t>
      </w:r>
    </w:p>
    <w:p>
      <w:pPr>
        <w:jc w:val="left"/>
      </w:pPr>
    </w:p>
    <w:p>
      <w:pPr>
        <w:pStyle w:val="Heading2"/>
        <w:jc w:val="left"/>
      </w:pPr>
      <w:r>
        <w:rPr>
          <w:rFonts w:ascii="Calibri" w:eastAsia="Calibri" w:hAnsi="Calibri" w:cs="Calibri"/>
          <w:b/>
          <w:color w:val="2E5C8A"/>
          <w:sz w:val="24"/>
        </w:rPr>
        <w:t>3.10 Partial reproduction of Baker et al. Figure 3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 xml:space="preserve">At the </w:t>
      </w:r>
      <w:r>
        <w:rPr>
          <w:rFonts w:ascii="Calibri" w:eastAsia="Calibri" w:hAnsi="Calibri" w:cs="Calibri"/>
          <w:sz w:val="21"/>
        </w:rPr>
        <w:t>study’s</w:t>
      </w:r>
      <w:r>
        <w:rPr>
          <w:rFonts w:ascii="Calibri" w:eastAsia="Calibri" w:hAnsi="Calibri" w:cs="Calibri"/>
          <w:sz w:val="21"/>
        </w:rPr>
        <w:t xml:space="preserve"> own threshold (|log2FC| &gt; 1.443, equivalent to |ln FC| &gt; 1.0), the gene × cluster matrices contained 46 genes across 23 cell types in males and 45 across 19 in females, against 133 and 54 reported.</w:t>
      </w:r>
      <w:r>
        <w:rPr>
          <w:rFonts w:ascii="Calibri" w:eastAsia="Calibri" w:hAnsi="Calibri" w:cs="Calibri"/>
          <w:sz w:val="21"/>
        </w:rPr>
        <w:t xml:space="preserve"> Venn analysis of </w:t>
      </w:r>
      <w:r>
        <w:rPr>
          <w:rFonts w:ascii="Calibri" w:eastAsia="Calibri" w:hAnsi="Calibri" w:cs="Calibri"/>
          <w:sz w:val="21"/>
        </w:rPr>
        <w:t xml:space="preserve">the </w:t>
      </w:r>
      <w:r>
        <w:rPr>
          <w:rFonts w:ascii="Calibri" w:eastAsia="Calibri" w:hAnsi="Calibri" w:cs="Calibri"/>
          <w:sz w:val="21"/>
        </w:rPr>
        <w:t>six cell types at the looser threshold gave Jaccard indices of 0.000–0.032, with three cell types sharing no genes between sexes.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>This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>study</w:t>
      </w:r>
      <w:r>
        <w:rPr>
          <w:rFonts w:ascii="Calibri" w:eastAsia="Calibri" w:hAnsi="Calibri" w:cs="Calibri"/>
          <w:sz w:val="21"/>
        </w:rPr>
        <w:t xml:space="preserve"> reports little overlap in its divergent clusters; this analysis finds almost none.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3660278"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66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Figure 19. </w:t>
      </w:r>
      <w:r>
        <w:rPr>
          <w:rFonts w:ascii="Calibri" w:eastAsia="Calibri" w:hAnsi="Calibri" w:cs="Calibri"/>
          <w:sz w:val="18"/>
        </w:rPr>
        <w:t>Reproduction of Baker et al.</w:t>
      </w:r>
      <w:r>
        <w:rPr>
          <w:rFonts w:ascii="Calibri" w:eastAsia="Calibri" w:hAnsi="Calibri" w:cs="Calibri"/>
          <w:sz w:val="18"/>
        </w:rPr>
        <w:t xml:space="preserve"> Figure 3A,B. Genes differentially expressed at the </w:t>
      </w:r>
      <w:r>
        <w:rPr>
          <w:rFonts w:ascii="Calibri" w:eastAsia="Calibri" w:hAnsi="Calibri" w:cs="Calibri"/>
          <w:sz w:val="18"/>
        </w:rPr>
        <w:t xml:space="preserve">threshold of the paper </w:t>
      </w:r>
      <w:r>
        <w:rPr>
          <w:rFonts w:ascii="Calibri" w:eastAsia="Calibri" w:hAnsi="Calibri" w:cs="Calibri"/>
          <w:sz w:val="18"/>
        </w:rPr>
        <w:t xml:space="preserve">are shown as columns, </w:t>
      </w:r>
      <w:r>
        <w:rPr>
          <w:rFonts w:ascii="Calibri" w:eastAsia="Calibri" w:hAnsi="Calibri" w:cs="Calibri"/>
          <w:sz w:val="18"/>
        </w:rPr>
        <w:t xml:space="preserve">and </w:t>
      </w:r>
      <w:r>
        <w:rPr>
          <w:rFonts w:ascii="Calibri" w:eastAsia="Calibri" w:hAnsi="Calibri" w:cs="Calibri"/>
          <w:sz w:val="18"/>
        </w:rPr>
        <w:t xml:space="preserve">cell types as rows; magenta indicates </w:t>
      </w:r>
      <w:r>
        <w:rPr>
          <w:rFonts w:ascii="Calibri" w:eastAsia="Calibri" w:hAnsi="Calibri" w:cs="Calibri"/>
          <w:sz w:val="18"/>
        </w:rPr>
        <w:t>upregulation</w:t>
      </w:r>
      <w:r>
        <w:rPr>
          <w:rFonts w:ascii="Calibri" w:eastAsia="Calibri" w:hAnsi="Calibri" w:cs="Calibri"/>
          <w:sz w:val="18"/>
        </w:rPr>
        <w:t xml:space="preserve"> and turquoise </w:t>
      </w:r>
      <w:r>
        <w:rPr>
          <w:rFonts w:ascii="Calibri" w:eastAsia="Calibri" w:hAnsi="Calibri" w:cs="Calibri"/>
          <w:sz w:val="18"/>
        </w:rPr>
        <w:t>downregulation</w:t>
      </w:r>
      <w:r>
        <w:rPr>
          <w:rFonts w:ascii="Calibri" w:eastAsia="Calibri" w:hAnsi="Calibri" w:cs="Calibri"/>
          <w:sz w:val="18"/>
        </w:rPr>
        <w:t xml:space="preserve"> in cocaine.</w:t>
      </w:r>
      <w:r>
        <w:rPr>
          <w:rFonts w:ascii="Calibri" w:eastAsia="Calibri" w:hAnsi="Calibri" w:cs="Calibri"/>
          <w:sz w:val="18"/>
        </w:rPr>
        <w:t xml:space="preserve"> The block structure at the left of each panel reflects the sort order (genes by cluster frequency, clusters by gene count) rather than missing data.</w:t>
      </w:r>
    </w:p>
    <w:p>
      <w:pPr>
        <w:jc w:val="left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2469914"/>
            <wp:docPr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6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>
          <w:rFonts w:ascii="Calibri" w:eastAsia="Calibri" w:hAnsi="Calibri" w:cs="Calibri"/>
          <w:b/>
          <w:sz w:val="18"/>
        </w:rPr>
        <w:t xml:space="preserve">Figure 20. </w:t>
      </w:r>
      <w:r>
        <w:rPr>
          <w:rFonts w:ascii="Calibri" w:eastAsia="Calibri" w:hAnsi="Calibri" w:cs="Calibri"/>
          <w:sz w:val="18"/>
        </w:rPr>
        <w:t>Reproduction of Baker et al.</w:t>
      </w:r>
      <w:r>
        <w:rPr>
          <w:rFonts w:ascii="Calibri" w:eastAsia="Calibri" w:hAnsi="Calibri" w:cs="Calibri"/>
          <w:sz w:val="18"/>
        </w:rPr>
        <w:t xml:space="preserve"> Figure 3C. Overlap between male and female cocaine-responsive gene sets for six cell types, four of which correspond to clusters identified as sexually divergent.</w:t>
      </w:r>
      <w:r>
        <w:rPr>
          <w:rFonts w:ascii="Calibri" w:eastAsia="Calibri" w:hAnsi="Calibri" w:cs="Calibri"/>
          <w:sz w:val="18"/>
        </w:rPr>
        <w:t xml:space="preserve"> </w:t>
      </w:r>
      <w:r>
        <w:rPr>
          <w:rFonts w:ascii="Calibri" w:eastAsia="Calibri" w:hAnsi="Calibri" w:cs="Calibri"/>
          <w:sz w:val="18"/>
        </w:rPr>
        <w:t>The circle</w:t>
      </w:r>
      <w:r>
        <w:rPr>
          <w:rFonts w:ascii="Calibri" w:eastAsia="Calibri" w:hAnsi="Calibri" w:cs="Calibri"/>
          <w:sz w:val="18"/>
        </w:rPr>
        <w:t xml:space="preserve"> areas are fixed</w:t>
      </w:r>
      <w:r>
        <w:rPr>
          <w:rFonts w:ascii="Calibri" w:eastAsia="Calibri" w:hAnsi="Calibri" w:cs="Calibri"/>
          <w:sz w:val="18"/>
        </w:rPr>
        <w:t xml:space="preserve"> and</w:t>
      </w:r>
      <w:r>
        <w:rPr>
          <w:rFonts w:ascii="Calibri" w:eastAsia="Calibri" w:hAnsi="Calibri" w:cs="Calibri"/>
          <w:sz w:val="18"/>
        </w:rPr>
        <w:t xml:space="preserve"> not proportional.</w:t>
      </w:r>
    </w:p>
    <w:p>
      <w:pPr>
        <w:jc w:val="left"/>
      </w:pPr>
    </w:p>
    <w:p>
      <w:pPr>
        <w:pStyle w:val="Heading1"/>
        <w:jc w:val="left"/>
      </w:pPr>
      <w:r>
        <w:rPr>
          <w:rFonts w:ascii="Calibri" w:eastAsia="Calibri" w:hAnsi="Calibri" w:cs="Calibri"/>
          <w:b/>
          <w:color w:val="1F3864"/>
          <w:sz w:val="30"/>
        </w:rPr>
        <w:t>4. Comparison with the original study</w:t>
      </w:r>
    </w:p>
    <w:p/>
    <w:p>
      <w:r>
        <w:rPr>
          <w:rFonts w:ascii="Calibri" w:eastAsia="Calibri" w:hAnsi="Calibri" w:cs="Calibri"/>
          <w:b/>
          <w:sz w:val="18"/>
        </w:rPr>
        <w:t xml:space="preserve">Table 5. </w:t>
      </w:r>
      <w:r>
        <w:rPr>
          <w:rFonts w:ascii="Calibri" w:eastAsia="Calibri" w:hAnsi="Calibri" w:cs="Calibri"/>
          <w:sz w:val="18"/>
        </w:rPr>
        <w:t>Finding-by-finding comparison with Baker et al. (2021).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3374"/>
        <w:gridCol w:w="3747"/>
        <w:gridCol w:w="2239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374" w:type="dxa"/>
            <w:shd w:val="clear" w:color="auto" w:fill="FFFFFF"/>
          </w:tcPr>
          <w:p>
            <w:r>
              <w:rPr>
                <w:rFonts w:ascii="Calibri" w:eastAsia="Calibri" w:hAnsi="Calibri" w:cs="Calibri"/>
                <w:b/>
                <w:sz w:val="18"/>
              </w:rPr>
              <w:t>Published finding</w:t>
            </w:r>
          </w:p>
          <w:p/>
        </w:tc>
        <w:tc>
          <w:tcPr>
            <w:tcW w:w="3747" w:type="dxa"/>
            <w:shd w:val="clear" w:color="auto" w:fill="FFFFFF"/>
          </w:tcPr>
          <w:p>
            <w:r>
              <w:rPr>
                <w:rFonts w:ascii="Calibri" w:eastAsia="Calibri" w:hAnsi="Calibri" w:cs="Calibri"/>
                <w:b/>
                <w:sz w:val="18"/>
              </w:rPr>
              <w:t>This reanalysis</w:t>
            </w:r>
          </w:p>
          <w:p/>
        </w:tc>
        <w:tc>
          <w:tcPr>
            <w:tcW w:w="2239" w:type="dxa"/>
            <w:shd w:val="clear" w:color="auto" w:fill="FFFFFF"/>
          </w:tcPr>
          <w:p>
            <w:r>
              <w:rPr>
                <w:rFonts w:ascii="Calibri" w:eastAsia="Calibri" w:hAnsi="Calibri" w:cs="Calibri"/>
                <w:b/>
                <w:sz w:val="18"/>
              </w:rPr>
              <w:t>Verdict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37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86,224 cells after QC</w:t>
            </w:r>
          </w:p>
          <w:p/>
        </w:tc>
        <w:tc>
          <w:tcPr>
            <w:tcW w:w="3747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86,177 (0.05% difference)</w:t>
            </w:r>
          </w:p>
          <w:p/>
        </w:tc>
        <w:tc>
          <w:tcPr>
            <w:tcW w:w="223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Reproduced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37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36 clusters at resolution 0.8</w:t>
            </w:r>
          </w:p>
          <w:p/>
        </w:tc>
        <w:tc>
          <w:tcPr>
            <w:tcW w:w="3747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30; reaches 36 at ~1.33</w:t>
            </w:r>
          </w:p>
          <w:p/>
        </w:tc>
        <w:tc>
          <w:tcPr>
            <w:tcW w:w="223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Partially reproduced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37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Cluster count plateaus at 0.8</w:t>
            </w:r>
          </w:p>
          <w:p/>
        </w:tc>
        <w:tc>
          <w:tcPr>
            <w:tcW w:w="3747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Monotonic increase, no plateau</w:t>
            </w:r>
          </w:p>
          <w:p/>
        </w:tc>
        <w:tc>
          <w:tcPr>
            <w:tcW w:w="223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Not reproduced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37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All major cell types represented</w:t>
            </w:r>
          </w:p>
          <w:p/>
        </w:tc>
        <w:tc>
          <w:tcPr>
            <w:tcW w:w="3747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24 of 30 clusters assigned</w:t>
            </w:r>
          </w:p>
          <w:p/>
        </w:tc>
        <w:tc>
          <w:tcPr>
            <w:tcW w:w="223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Reproduced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37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No cluster dominated by one sample</w:t>
            </w:r>
          </w:p>
          <w:p/>
        </w:tc>
        <w:tc>
          <w:tcPr>
            <w:tcW w:w="3747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Max 34.3% vs 12.5% expected</w:t>
            </w:r>
          </w:p>
          <w:p/>
        </w:tc>
        <w:tc>
          <w:tcPr>
            <w:tcW w:w="223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Reproduced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37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Kenyon cells among top responders</w:t>
            </w:r>
          </w:p>
          <w:p/>
        </w:tc>
        <w:tc>
          <w:tcPr>
            <w:tcW w:w="3747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1st raw, 7th at matched power</w:t>
            </w:r>
          </w:p>
          <w:p/>
        </w:tc>
        <w:tc>
          <w:tcPr>
            <w:tcW w:w="223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Partially reproduced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37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Surface glia among top responders</w:t>
            </w:r>
          </w:p>
          <w:p/>
        </w:tc>
        <w:tc>
          <w:tcPr>
            <w:tcW w:w="3747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12th raw, 3rd normalised and matched</w:t>
            </w:r>
          </w:p>
          <w:p/>
        </w:tc>
        <w:tc>
          <w:tcPr>
            <w:tcW w:w="223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Reproduced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37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Astrocytes among top responders</w:t>
            </w:r>
          </w:p>
          <w:p/>
        </w:tc>
        <w:tc>
          <w:tcPr>
            <w:tcW w:w="3747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Not assessable (143 cells)</w:t>
            </w:r>
          </w:p>
          <w:p/>
        </w:tc>
        <w:tc>
          <w:tcPr>
            <w:tcW w:w="223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Untested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37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Male-biased response (2.15×)</w:t>
            </w:r>
          </w:p>
          <w:p/>
        </w:tc>
        <w:tc>
          <w:tcPr>
            <w:tcW w:w="3747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0.97× to 6.43× by metric</w:t>
            </w:r>
          </w:p>
          <w:p/>
        </w:tc>
        <w:tc>
          <w:tcPr>
            <w:tcW w:w="223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Analysis-dependent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37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Little overlap between sexes</w:t>
            </w:r>
          </w:p>
          <w:p/>
        </w:tc>
        <w:tc>
          <w:tcPr>
            <w:tcW w:w="3747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Jaccard 0.000–0.032</w:t>
            </w:r>
          </w:p>
          <w:p/>
        </w:tc>
        <w:tc>
          <w:tcPr>
            <w:tcW w:w="223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Reproduced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37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mt:lrRNA cocaine-responsive</w:t>
            </w:r>
          </w:p>
          <w:p/>
        </w:tc>
        <w:tc>
          <w:tcPr>
            <w:tcW w:w="3747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+3.05 in males; confounded with mt%</w:t>
            </w:r>
          </w:p>
          <w:p/>
        </w:tc>
        <w:tc>
          <w:tcPr>
            <w:tcW w:w="223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Confounded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37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RpL41 cocaine-responsive</w:t>
            </w:r>
          </w:p>
          <w:p/>
        </w:tc>
        <w:tc>
          <w:tcPr>
            <w:tcW w:w="3747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Replicates</w:t>
            </w:r>
          </w:p>
          <w:p/>
        </w:tc>
        <w:tc>
          <w:tcPr>
            <w:tcW w:w="223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Reproduced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37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ninaE down after cocaine</w:t>
            </w:r>
          </w:p>
          <w:p/>
        </w:tc>
        <w:tc>
          <w:tcPr>
            <w:tcW w:w="3747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Up (+1.29 in males)</w:t>
            </w:r>
          </w:p>
          <w:p/>
        </w:tc>
        <w:tc>
          <w:tcPr>
            <w:tcW w:w="223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Not reproduced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37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Behavioural assays (</w:t>
            </w:r>
            <w:r>
              <w:rPr>
                <w:rFonts w:ascii="Calibri" w:eastAsia="Calibri" w:hAnsi="Calibri" w:cs="Calibri"/>
                <w:sz w:val="18"/>
              </w:rPr>
              <w:t>Figure</w:t>
            </w:r>
            <w:r>
              <w:rPr>
                <w:rFonts w:ascii="Calibri" w:eastAsia="Calibri" w:hAnsi="Calibri" w:cs="Calibri"/>
                <w:sz w:val="18"/>
              </w:rPr>
              <w:t xml:space="preserve"> 1)</w:t>
            </w:r>
          </w:p>
          <w:p/>
        </w:tc>
        <w:tc>
          <w:tcPr>
            <w:tcW w:w="3747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Data not deposited</w:t>
            </w:r>
          </w:p>
          <w:p/>
        </w:tc>
        <w:tc>
          <w:tcPr>
            <w:tcW w:w="223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Not applicable</w:t>
            </w:r>
          </w:p>
          <w:p/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374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Coexpression networks (</w:t>
            </w:r>
            <w:r>
              <w:rPr>
                <w:rFonts w:ascii="Calibri" w:eastAsia="Calibri" w:hAnsi="Calibri" w:cs="Calibri"/>
                <w:sz w:val="18"/>
              </w:rPr>
              <w:t>Figures</w:t>
            </w:r>
            <w:r>
              <w:rPr>
                <w:rFonts w:ascii="Calibri" w:eastAsia="Calibri" w:hAnsi="Calibri" w:cs="Calibri"/>
                <w:sz w:val="18"/>
              </w:rPr>
              <w:t xml:space="preserve"> 4–6)</w:t>
            </w:r>
          </w:p>
          <w:p/>
        </w:tc>
        <w:tc>
          <w:tcPr>
            <w:tcW w:w="3747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Different toolchain required</w:t>
            </w:r>
          </w:p>
          <w:p/>
        </w:tc>
        <w:tc>
          <w:tcPr>
            <w:tcW w:w="2239" w:type="dxa"/>
            <w:shd w:val="clear" w:color="auto" w:fill="FFFFFF"/>
          </w:tcPr>
          <w:p>
            <w:r>
              <w:rPr>
                <w:rFonts w:ascii="Calibri" w:eastAsia="Calibri" w:hAnsi="Calibri" w:cs="Calibri"/>
                <w:sz w:val="18"/>
              </w:rPr>
              <w:t>Not attempted</w:t>
            </w:r>
          </w:p>
          <w:p/>
        </w:tc>
      </w:tr>
    </w:tbl>
    <w:p/>
    <w:p/>
    <w:p>
      <w:pPr>
        <w:pStyle w:val="Heading1"/>
      </w:pPr>
      <w:r>
        <w:rPr>
          <w:rFonts w:ascii="Calibri" w:eastAsia="Calibri" w:hAnsi="Calibri" w:cs="Calibri"/>
          <w:b/>
          <w:color w:val="1F3864"/>
          <w:sz w:val="30"/>
        </w:rPr>
        <w:t>5. Critique</w:t>
      </w:r>
    </w:p>
    <w:p/>
    <w:p>
      <w:pPr>
        <w:pStyle w:val="Heading2"/>
      </w:pPr>
      <w:r>
        <w:rPr>
          <w:rFonts w:ascii="Calibri" w:eastAsia="Calibri" w:hAnsi="Calibri" w:cs="Calibri"/>
          <w:b/>
          <w:color w:val="2E5C8A"/>
          <w:sz w:val="24"/>
        </w:rPr>
        <w:t>5.1 Critique of the original study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 xml:space="preserve">The following are methodological observations, not claims that the biology is </w:t>
      </w:r>
      <w:r>
        <w:rPr>
          <w:rFonts w:ascii="Calibri" w:eastAsia="Calibri" w:hAnsi="Calibri" w:cs="Calibri"/>
          <w:sz w:val="21"/>
        </w:rPr>
        <w:t>incorrect</w:t>
      </w:r>
      <w:r>
        <w:rPr>
          <w:rFonts w:ascii="Calibri" w:eastAsia="Calibri" w:hAnsi="Calibri" w:cs="Calibri"/>
          <w:sz w:val="21"/>
        </w:rPr>
        <w:t>.</w:t>
      </w:r>
      <w:r>
        <w:rPr>
          <w:rFonts w:ascii="Calibri" w:eastAsia="Calibri" w:hAnsi="Calibri" w:cs="Calibri"/>
          <w:sz w:val="21"/>
        </w:rPr>
        <w:t xml:space="preserve"> Several reflect conventions that were standard at the time of publication; both key papers on pseudoreplication in single-cell differential expression appeared in the same year.</w:t>
      </w:r>
    </w:p>
    <w:p>
      <w:pPr>
        <w:numPr>
          <w:ilvl w:val="0"/>
          <w:numId w:val="1"/>
        </w:numPr>
      </w:pPr>
      <w:r>
        <w:rPr>
          <w:rFonts w:ascii="Calibri" w:eastAsia="Calibri" w:hAnsi="Calibri" w:cs="Calibri"/>
          <w:b/>
          <w:sz w:val="21"/>
        </w:rPr>
        <w:t xml:space="preserve">Differential expression was performed at </w:t>
      </w:r>
      <w:r>
        <w:rPr>
          <w:rFonts w:ascii="Calibri" w:eastAsia="Calibri" w:hAnsi="Calibri" w:cs="Calibri"/>
          <w:b/>
          <w:sz w:val="21"/>
        </w:rPr>
        <w:t xml:space="preserve">the </w:t>
      </w:r>
      <w:r>
        <w:rPr>
          <w:rFonts w:ascii="Calibri" w:eastAsia="Calibri" w:hAnsi="Calibri" w:cs="Calibri"/>
          <w:b/>
          <w:sz w:val="21"/>
        </w:rPr>
        <w:t>cell level without a replicate-level control.</w:t>
      </w:r>
      <w:r>
        <w:rPr>
          <w:rFonts w:ascii="Calibri" w:eastAsia="Calibri" w:hAnsi="Calibri" w:cs="Calibri"/>
          <w:sz w:val="21"/>
        </w:rPr>
        <w:t xml:space="preserve"> MAST was applied across individual cells, treating </w:t>
      </w:r>
      <w:r>
        <w:rPr>
          <w:rFonts w:ascii="Calibri" w:eastAsia="Calibri" w:hAnsi="Calibri" w:cs="Calibri"/>
          <w:sz w:val="21"/>
        </w:rPr>
        <w:t>approximately</w:t>
      </w:r>
      <w:r>
        <w:rPr>
          <w:rFonts w:ascii="Calibri" w:eastAsia="Calibri" w:hAnsi="Calibri" w:cs="Calibri"/>
          <w:sz w:val="21"/>
        </w:rPr>
        <w:t xml:space="preserve"> 43,000 cells per sex as independent observations when there were two biological replicates per arm.</w:t>
      </w:r>
      <w:r>
        <w:rPr>
          <w:rFonts w:ascii="Calibri" w:eastAsia="Calibri" w:hAnsi="Calibri" w:cs="Calibri"/>
          <w:sz w:val="21"/>
        </w:rPr>
        <w:t xml:space="preserve"> This is now known to inflate false discovery substantially (Squair et al.</w:t>
      </w:r>
      <w:r>
        <w:rPr>
          <w:rFonts w:ascii="Calibri" w:eastAsia="Calibri" w:hAnsi="Calibri" w:cs="Calibri"/>
          <w:sz w:val="21"/>
        </w:rPr>
        <w:t xml:space="preserve"> 2021; Zimmerman et al. 2021), and the pseudobulk cross-check performed here found no significant genes at </w:t>
      </w:r>
      <w:r>
        <w:rPr>
          <w:rFonts w:ascii="Calibri" w:eastAsia="Calibri" w:hAnsi="Calibri" w:cs="Calibri"/>
          <w:sz w:val="21"/>
        </w:rPr>
        <w:t xml:space="preserve">the </w:t>
      </w:r>
      <w:r>
        <w:rPr>
          <w:rFonts w:ascii="Calibri" w:eastAsia="Calibri" w:hAnsi="Calibri" w:cs="Calibri"/>
          <w:sz w:val="21"/>
        </w:rPr>
        <w:t>replicate level in either sex.</w:t>
      </w:r>
      <w:r>
        <w:rPr>
          <w:rFonts w:ascii="Calibri" w:eastAsia="Calibri" w:hAnsi="Calibri" w:cs="Calibri"/>
          <w:sz w:val="21"/>
        </w:rPr>
        <w:t xml:space="preserve"> The published counts of 691 and 322 should be read as cell-level counts, not as counts of genes for which a treatment effect has been established across animals.</w:t>
      </w:r>
    </w:p>
    <w:p>
      <w:pPr>
        <w:numPr>
          <w:ilvl w:val="0"/>
          <w:numId w:val="1"/>
        </w:numPr>
      </w:pPr>
      <w:r>
        <w:rPr>
          <w:rFonts w:ascii="Calibri" w:eastAsia="Calibri" w:hAnsi="Calibri" w:cs="Calibri"/>
          <w:b/>
          <w:sz w:val="21"/>
        </w:rPr>
        <w:t xml:space="preserve">No background comparison </w:t>
      </w:r>
      <w:r>
        <w:rPr>
          <w:rFonts w:ascii="Calibri" w:eastAsia="Calibri" w:hAnsi="Calibri" w:cs="Calibri"/>
          <w:b/>
          <w:sz w:val="21"/>
        </w:rPr>
        <w:t>was</w:t>
      </w:r>
      <w:r>
        <w:rPr>
          <w:rFonts w:ascii="Calibri" w:eastAsia="Calibri" w:hAnsi="Calibri" w:cs="Calibri"/>
          <w:b/>
          <w:sz w:val="21"/>
        </w:rPr>
        <w:t xml:space="preserve"> reported.</w:t>
      </w:r>
      <w:r>
        <w:rPr>
          <w:rFonts w:ascii="Calibri" w:eastAsia="Calibri" w:hAnsi="Calibri" w:cs="Calibri"/>
          <w:sz w:val="21"/>
        </w:rPr>
        <w:t xml:space="preserve"> The permutation control performed here shows that in females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an incorrect grouping of the same four samples produces 2.5 to 2.8 times more </w:t>
      </w:r>
      <w:r>
        <w:rPr>
          <w:rFonts w:ascii="Calibri" w:eastAsia="Calibri" w:hAnsi="Calibri" w:cs="Calibri"/>
          <w:sz w:val="21"/>
        </w:rPr>
        <w:t>DEGs</w:t>
      </w:r>
      <w:r>
        <w:rPr>
          <w:rFonts w:ascii="Calibri" w:eastAsia="Calibri" w:hAnsi="Calibri" w:cs="Calibri"/>
          <w:sz w:val="21"/>
        </w:rPr>
        <w:t xml:space="preserve"> than the correct one.</w:t>
      </w:r>
      <w:r>
        <w:rPr>
          <w:rFonts w:ascii="Calibri" w:eastAsia="Calibri" w:hAnsi="Calibri" w:cs="Calibri"/>
          <w:sz w:val="21"/>
        </w:rPr>
        <w:t xml:space="preserve"> A reader of the original paper has no way to assess whether 322 female genes is many or few, because no such baseline is given.</w:t>
      </w:r>
      <w:r>
        <w:rPr>
          <w:rFonts w:ascii="Calibri" w:eastAsia="Calibri" w:hAnsi="Calibri" w:cs="Calibri"/>
          <w:sz w:val="21"/>
        </w:rPr>
        <w:t xml:space="preserve"> This is the most consequential omission identified.</w:t>
      </w:r>
    </w:p>
    <w:p>
      <w:pPr>
        <w:numPr>
          <w:ilvl w:val="0"/>
          <w:numId w:val="1"/>
        </w:numPr>
      </w:pPr>
      <w:r>
        <w:rPr>
          <w:rFonts w:ascii="Calibri" w:eastAsia="Calibri" w:hAnsi="Calibri" w:cs="Calibri"/>
          <w:b/>
          <w:sz w:val="21"/>
        </w:rPr>
        <w:t>Sexual dimorphism is inferred from a comparison of separate gene lists.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>This</w:t>
      </w:r>
      <w:r>
        <w:rPr>
          <w:rFonts w:ascii="Calibri" w:eastAsia="Calibri" w:hAnsi="Calibri" w:cs="Calibri"/>
          <w:sz w:val="21"/>
        </w:rPr>
        <w:t xml:space="preserve"> paper presents Venn diagrams of male and female </w:t>
      </w:r>
      <w:r>
        <w:rPr>
          <w:rFonts w:ascii="Calibri" w:eastAsia="Calibri" w:hAnsi="Calibri" w:cs="Calibri"/>
          <w:sz w:val="21"/>
        </w:rPr>
        <w:t>DEGs</w:t>
      </w:r>
      <w:r>
        <w:rPr>
          <w:rFonts w:ascii="Calibri" w:eastAsia="Calibri" w:hAnsi="Calibri" w:cs="Calibri"/>
          <w:sz w:val="21"/>
        </w:rPr>
        <w:t xml:space="preserve"> per cluster and interprets low overlap as dimorphism.</w:t>
      </w:r>
      <w:r>
        <w:rPr>
          <w:rFonts w:ascii="Calibri" w:eastAsia="Calibri" w:hAnsi="Calibri" w:cs="Calibri"/>
          <w:sz w:val="21"/>
        </w:rPr>
        <w:t xml:space="preserve"> The difference between "significant in males" and "not significant in females" is not itself a test of difference (Gelman and Stern 2006).</w:t>
      </w:r>
      <w:r>
        <w:rPr>
          <w:rFonts w:ascii="Calibri" w:eastAsia="Calibri" w:hAnsi="Calibri" w:cs="Calibri"/>
          <w:sz w:val="21"/>
        </w:rPr>
        <w:t xml:space="preserve"> A formal interaction test, performed here, identifies no gene meeting that standard — though with n = 2 per arm this is expected and does not by itself contradict the published claim.</w:t>
      </w:r>
    </w:p>
    <w:p>
      <w:pPr>
        <w:numPr>
          <w:ilvl w:val="0"/>
          <w:numId w:val="1"/>
        </w:numPr>
      </w:pPr>
      <w:r>
        <w:rPr>
          <w:rFonts w:ascii="Calibri" w:eastAsia="Calibri" w:hAnsi="Calibri" w:cs="Calibri"/>
          <w:b/>
          <w:sz w:val="21"/>
        </w:rPr>
        <w:t>The cluster</w:t>
      </w:r>
      <w:r>
        <w:rPr>
          <w:rFonts w:ascii="Calibri" w:eastAsia="Calibri" w:hAnsi="Calibri" w:cs="Calibri"/>
          <w:b/>
          <w:sz w:val="21"/>
        </w:rPr>
        <w:t xml:space="preserve"> size </w:t>
      </w:r>
      <w:r>
        <w:rPr>
          <w:rFonts w:ascii="Calibri" w:eastAsia="Calibri" w:hAnsi="Calibri" w:cs="Calibri"/>
          <w:b/>
          <w:sz w:val="21"/>
        </w:rPr>
        <w:t>was</w:t>
      </w:r>
      <w:r>
        <w:rPr>
          <w:rFonts w:ascii="Calibri" w:eastAsia="Calibri" w:hAnsi="Calibri" w:cs="Calibri"/>
          <w:b/>
          <w:sz w:val="21"/>
        </w:rPr>
        <w:t xml:space="preserve"> not accounted for in the response ranking.</w:t>
      </w:r>
      <w:r>
        <w:rPr>
          <w:rFonts w:ascii="Calibri" w:eastAsia="Calibri" w:hAnsi="Calibri" w:cs="Calibri"/>
          <w:sz w:val="21"/>
        </w:rPr>
        <w:t xml:space="preserve"> The correlation between cluster size and </w:t>
      </w:r>
      <w:r>
        <w:rPr>
          <w:rFonts w:ascii="Calibri" w:eastAsia="Calibri" w:hAnsi="Calibri" w:cs="Calibri"/>
          <w:sz w:val="21"/>
        </w:rPr>
        <w:t>DE</w:t>
      </w:r>
      <w:r>
        <w:rPr>
          <w:rFonts w:ascii="Calibri" w:eastAsia="Calibri" w:hAnsi="Calibri" w:cs="Calibri"/>
          <w:sz w:val="21"/>
        </w:rPr>
        <w:t xml:space="preserve"> gene count (ρ = 0.581 in this reanalysis) means </w:t>
      </w:r>
      <w:r>
        <w:rPr>
          <w:rFonts w:ascii="Calibri" w:eastAsia="Calibri" w:hAnsi="Calibri" w:cs="Calibri"/>
          <w:sz w:val="21"/>
        </w:rPr>
        <w:t xml:space="preserve">that </w:t>
      </w:r>
      <w:r>
        <w:rPr>
          <w:rFonts w:ascii="Calibri" w:eastAsia="Calibri" w:hAnsi="Calibri" w:cs="Calibri"/>
          <w:sz w:val="21"/>
        </w:rPr>
        <w:t>a raw ranking partly reflects statistical power.</w:t>
      </w:r>
      <w:r>
        <w:rPr>
          <w:rFonts w:ascii="Calibri" w:eastAsia="Calibri" w:hAnsi="Calibri" w:cs="Calibri"/>
          <w:sz w:val="21"/>
        </w:rPr>
        <w:t xml:space="preserve"> Under size-matched analysis, Kenyon cells fall from first to seventh.</w:t>
      </w:r>
      <w:r>
        <w:rPr>
          <w:rFonts w:ascii="Calibri" w:eastAsia="Calibri" w:hAnsi="Calibri" w:cs="Calibri"/>
          <w:sz w:val="21"/>
        </w:rPr>
        <w:t xml:space="preserve"> The conclusion that Kenyon cells respond especially strongly may partly reflect their abundance.</w:t>
      </w:r>
    </w:p>
    <w:p>
      <w:pPr>
        <w:numPr>
          <w:ilvl w:val="0"/>
          <w:numId w:val="1"/>
        </w:numPr>
      </w:pPr>
      <w:r>
        <w:rPr>
          <w:rFonts w:ascii="Calibri" w:eastAsia="Calibri" w:hAnsi="Calibri" w:cs="Calibri"/>
          <w:b/>
          <w:sz w:val="21"/>
        </w:rPr>
        <w:t>Quality-control metrics are not reported per treatment group.</w:t>
      </w:r>
      <w:r>
        <w:rPr>
          <w:rFonts w:ascii="Calibri" w:eastAsia="Calibri" w:hAnsi="Calibri" w:cs="Calibri"/>
          <w:sz w:val="21"/>
        </w:rPr>
        <w:t xml:space="preserve"> The 6.4-fold difference in mitochondrial fraction between male treatment arms, absent in females, </w:t>
      </w:r>
      <w:r>
        <w:rPr>
          <w:rFonts w:ascii="Calibri" w:eastAsia="Calibri" w:hAnsi="Calibri" w:cs="Calibri"/>
          <w:sz w:val="21"/>
        </w:rPr>
        <w:t>can be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>computed</w:t>
      </w:r>
      <w:r>
        <w:rPr>
          <w:rFonts w:ascii="Calibri" w:eastAsia="Calibri" w:hAnsi="Calibri" w:cs="Calibri"/>
          <w:sz w:val="21"/>
        </w:rPr>
        <w:t xml:space="preserve"> from the deposited data but is not tabulated.</w:t>
      </w:r>
      <w:r>
        <w:rPr>
          <w:rFonts w:ascii="Calibri" w:eastAsia="Calibri" w:hAnsi="Calibri" w:cs="Calibri"/>
          <w:sz w:val="21"/>
        </w:rPr>
        <w:t xml:space="preserve"> Given that the paper’s globally cocaine-responsive gene list includes mt:lrRNA, and that oxidative phosphorylation appears as an enriched pathway in male clusters, this is directly relevant to interpretation.</w:t>
      </w:r>
    </w:p>
    <w:p>
      <w:pPr>
        <w:numPr>
          <w:ilvl w:val="0"/>
          <w:numId w:val="1"/>
        </w:numPr>
      </w:pPr>
      <w:r>
        <w:rPr>
          <w:rFonts w:ascii="Calibri" w:eastAsia="Calibri" w:hAnsi="Calibri" w:cs="Calibri"/>
          <w:b/>
          <w:sz w:val="21"/>
        </w:rPr>
        <w:t>Ambient RNA is not assessed.</w:t>
      </w:r>
      <w:r>
        <w:rPr>
          <w:rFonts w:ascii="Calibri" w:eastAsia="Calibri" w:hAnsi="Calibri" w:cs="Calibri"/>
          <w:sz w:val="21"/>
        </w:rPr>
        <w:t xml:space="preserve"> Yolk protein transcripts, which cannot be expressed by neurons, are detected in 27% of cells in one female cocaine replicate against 3–5% in controls.</w:t>
      </w:r>
      <w:r>
        <w:rPr>
          <w:rFonts w:ascii="Calibri" w:eastAsia="Calibri" w:hAnsi="Calibri" w:cs="Calibri"/>
          <w:sz w:val="21"/>
        </w:rPr>
        <w:t xml:space="preserve"> Tools for estimating and removing ambient contamination were available (Young and Behjati 2020).</w:t>
      </w:r>
    </w:p>
    <w:p>
      <w:pPr>
        <w:numPr>
          <w:ilvl w:val="0"/>
          <w:numId w:val="1"/>
        </w:numPr>
      </w:pPr>
      <w:r>
        <w:rPr>
          <w:rFonts w:ascii="Calibri" w:eastAsia="Calibri" w:hAnsi="Calibri" w:cs="Calibri"/>
          <w:b/>
          <w:sz w:val="21"/>
        </w:rPr>
        <w:t>This</w:t>
      </w:r>
      <w:r>
        <w:rPr>
          <w:rFonts w:ascii="Calibri" w:eastAsia="Calibri" w:hAnsi="Calibri" w:cs="Calibri"/>
          <w:b/>
          <w:sz w:val="21"/>
        </w:rPr>
        <w:t xml:space="preserve"> </w:t>
      </w:r>
      <w:r>
        <w:rPr>
          <w:rFonts w:ascii="Calibri" w:eastAsia="Calibri" w:hAnsi="Calibri" w:cs="Calibri"/>
          <w:b/>
          <w:sz w:val="21"/>
        </w:rPr>
        <w:t>reanalysis does not support the clustering stability argument</w:t>
      </w:r>
      <w:r>
        <w:rPr>
          <w:rFonts w:ascii="Calibri" w:eastAsia="Calibri" w:hAnsi="Calibri" w:cs="Calibri"/>
          <w:b/>
          <w:sz w:val="21"/>
        </w:rPr>
        <w:t>.</w:t>
      </w:r>
      <w:r>
        <w:rPr>
          <w:rFonts w:ascii="Calibri" w:eastAsia="Calibri" w:hAnsi="Calibri" w:cs="Calibri"/>
          <w:sz w:val="21"/>
        </w:rPr>
        <w:t xml:space="preserve"> The paper states that </w:t>
      </w:r>
      <w:r>
        <w:rPr>
          <w:rFonts w:ascii="Calibri" w:eastAsia="Calibri" w:hAnsi="Calibri" w:cs="Calibri"/>
          <w:sz w:val="21"/>
        </w:rPr>
        <w:t xml:space="preserve">the </w:t>
      </w:r>
      <w:r>
        <w:rPr>
          <w:rFonts w:ascii="Calibri" w:eastAsia="Calibri" w:hAnsi="Calibri" w:cs="Calibri"/>
          <w:sz w:val="21"/>
        </w:rPr>
        <w:t xml:space="preserve">cluster number stabilises at </w:t>
      </w:r>
      <w:r>
        <w:rPr>
          <w:rFonts w:ascii="Calibri" w:eastAsia="Calibri" w:hAnsi="Calibri" w:cs="Calibri"/>
          <w:sz w:val="21"/>
        </w:rPr>
        <w:t xml:space="preserve">a </w:t>
      </w:r>
      <w:r>
        <w:rPr>
          <w:rFonts w:ascii="Calibri" w:eastAsia="Calibri" w:hAnsi="Calibri" w:cs="Calibri"/>
          <w:sz w:val="21"/>
        </w:rPr>
        <w:t xml:space="preserve">resolution </w:t>
      </w:r>
      <w:r>
        <w:rPr>
          <w:rFonts w:ascii="Calibri" w:eastAsia="Calibri" w:hAnsi="Calibri" w:cs="Calibri"/>
          <w:sz w:val="21"/>
        </w:rPr>
        <w:t xml:space="preserve">of </w:t>
      </w:r>
      <w:r>
        <w:rPr>
          <w:rFonts w:ascii="Calibri" w:eastAsia="Calibri" w:hAnsi="Calibri" w:cs="Calibri"/>
          <w:sz w:val="21"/>
        </w:rPr>
        <w:t>0.8.</w:t>
      </w:r>
      <w:r>
        <w:rPr>
          <w:rFonts w:ascii="Calibri" w:eastAsia="Calibri" w:hAnsi="Calibri" w:cs="Calibri"/>
          <w:sz w:val="21"/>
        </w:rPr>
        <w:t xml:space="preserve"> In Scanpy with Leiden clustering, </w:t>
      </w:r>
      <w:r>
        <w:rPr>
          <w:rFonts w:ascii="Calibri" w:eastAsia="Calibri" w:hAnsi="Calibri" w:cs="Calibri"/>
          <w:sz w:val="21"/>
        </w:rPr>
        <w:t>the cluster number increased</w:t>
      </w:r>
      <w:r>
        <w:rPr>
          <w:rFonts w:ascii="Calibri" w:eastAsia="Calibri" w:hAnsi="Calibri" w:cs="Calibri"/>
          <w:sz w:val="21"/>
        </w:rPr>
        <w:t xml:space="preserve"> monotonically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with no plateau.</w:t>
      </w:r>
      <w:r>
        <w:rPr>
          <w:rFonts w:ascii="Calibri" w:eastAsia="Calibri" w:hAnsi="Calibri" w:cs="Calibri"/>
          <w:sz w:val="21"/>
        </w:rPr>
        <w:t xml:space="preserve"> This may be an algorithm-specific property rather than a disagreement about the data.</w:t>
      </w:r>
    </w:p>
    <w:p>
      <w:pPr>
        <w:numPr>
          <w:ilvl w:val="0"/>
          <w:numId w:val="0"/>
        </w:numPr>
      </w:pPr>
    </w:p>
    <w:p>
      <w:pPr>
        <w:pStyle w:val="Heading2"/>
        <w:numPr>
          <w:ilvl w:val="0"/>
          <w:numId w:val="0"/>
        </w:numPr>
      </w:pPr>
      <w:r>
        <w:rPr>
          <w:rFonts w:ascii="Calibri" w:eastAsia="Calibri" w:hAnsi="Calibri" w:cs="Calibri"/>
          <w:b/>
          <w:color w:val="2E5C8A"/>
          <w:sz w:val="24"/>
        </w:rPr>
        <w:t>5.2 Critique of this reanalysis</w:t>
      </w:r>
    </w:p>
    <w:p>
      <w:pPr>
        <w:numPr>
          <w:ilvl w:val="0"/>
          <w:numId w:val="2"/>
        </w:numPr>
      </w:pPr>
      <w:r>
        <w:rPr>
          <w:rFonts w:ascii="Calibri" w:eastAsia="Calibri" w:hAnsi="Calibri" w:cs="Calibri"/>
          <w:b/>
          <w:sz w:val="21"/>
        </w:rPr>
        <w:t xml:space="preserve">Treatment labels </w:t>
      </w:r>
      <w:r>
        <w:rPr>
          <w:rFonts w:ascii="Calibri" w:eastAsia="Calibri" w:hAnsi="Calibri" w:cs="Calibri"/>
          <w:b/>
          <w:sz w:val="21"/>
        </w:rPr>
        <w:t>were</w:t>
      </w:r>
      <w:r>
        <w:rPr>
          <w:rFonts w:ascii="Calibri" w:eastAsia="Calibri" w:hAnsi="Calibri" w:cs="Calibri"/>
          <w:b/>
          <w:sz w:val="21"/>
        </w:rPr>
        <w:t xml:space="preserve"> inferred</w:t>
      </w:r>
      <w:r>
        <w:rPr>
          <w:rFonts w:ascii="Calibri" w:eastAsia="Calibri" w:hAnsi="Calibri" w:cs="Calibri"/>
          <w:b/>
          <w:sz w:val="21"/>
        </w:rPr>
        <w:t xml:space="preserve"> and</w:t>
      </w:r>
      <w:r>
        <w:rPr>
          <w:rFonts w:ascii="Calibri" w:eastAsia="Calibri" w:hAnsi="Calibri" w:cs="Calibri"/>
          <w:b/>
          <w:sz w:val="21"/>
        </w:rPr>
        <w:t xml:space="preserve"> not verified.</w:t>
      </w:r>
      <w:r>
        <w:rPr>
          <w:rFonts w:ascii="Calibri" w:eastAsia="Calibri" w:hAnsi="Calibri" w:cs="Calibri"/>
          <w:sz w:val="21"/>
        </w:rPr>
        <w:t xml:space="preserve"> Sex was confirmed </w:t>
      </w:r>
      <w:r>
        <w:rPr>
          <w:rFonts w:ascii="Calibri" w:eastAsia="Calibri" w:hAnsi="Calibri" w:cs="Calibri"/>
          <w:sz w:val="21"/>
        </w:rPr>
        <w:t>using</w:t>
      </w:r>
      <w:r>
        <w:rPr>
          <w:rFonts w:ascii="Calibri" w:eastAsia="Calibri" w:hAnsi="Calibri" w:cs="Calibri"/>
          <w:sz w:val="21"/>
        </w:rPr>
        <w:t xml:space="preserve"> two independent marker panels.</w:t>
      </w:r>
      <w:r>
        <w:rPr>
          <w:rFonts w:ascii="Calibri" w:eastAsia="Calibri" w:hAnsi="Calibri" w:cs="Calibri"/>
          <w:sz w:val="21"/>
        </w:rPr>
        <w:t xml:space="preserve"> Treatment assignment </w:t>
      </w:r>
      <w:r>
        <w:rPr>
          <w:rFonts w:ascii="Calibri" w:eastAsia="Calibri" w:hAnsi="Calibri" w:cs="Calibri"/>
          <w:sz w:val="21"/>
        </w:rPr>
        <w:t>was based</w:t>
      </w:r>
      <w:r>
        <w:rPr>
          <w:rFonts w:ascii="Calibri" w:eastAsia="Calibri" w:hAnsi="Calibri" w:cs="Calibri"/>
          <w:sz w:val="21"/>
        </w:rPr>
        <w:t xml:space="preserve"> on the deposition order in the authors’ published code.</w:t>
      </w:r>
      <w:r>
        <w:rPr>
          <w:rFonts w:ascii="Calibri" w:eastAsia="Calibri" w:hAnsi="Calibri" w:cs="Calibri"/>
          <w:sz w:val="21"/>
        </w:rPr>
        <w:t xml:space="preserve"> No computational check </w:t>
      </w:r>
      <w:r>
        <w:rPr>
          <w:rFonts w:ascii="Calibri" w:eastAsia="Calibri" w:hAnsi="Calibri" w:cs="Calibri"/>
          <w:sz w:val="21"/>
        </w:rPr>
        <w:t>could</w:t>
      </w:r>
      <w:r>
        <w:rPr>
          <w:rFonts w:ascii="Calibri" w:eastAsia="Calibri" w:hAnsi="Calibri" w:cs="Calibri"/>
          <w:sz w:val="21"/>
        </w:rPr>
        <w:t xml:space="preserve"> verify which animals consumed cocaine.</w:t>
      </w:r>
      <w:r>
        <w:rPr>
          <w:rFonts w:ascii="Calibri" w:eastAsia="Calibri" w:hAnsi="Calibri" w:cs="Calibri"/>
          <w:sz w:val="21"/>
        </w:rPr>
        <w:t xml:space="preserve"> If that inference is wrong, every treatment comparison here is wrong.</w:t>
      </w:r>
    </w:p>
    <w:p>
      <w:pPr>
        <w:numPr>
          <w:ilvl w:val="0"/>
          <w:numId w:val="2"/>
        </w:numPr>
      </w:pPr>
      <w:r>
        <w:rPr>
          <w:rFonts w:ascii="Calibri" w:eastAsia="Calibri" w:hAnsi="Calibri" w:cs="Calibri"/>
          <w:b/>
          <w:sz w:val="21"/>
        </w:rPr>
        <w:t>The permutation control has only two independent nulls per sex.</w:t>
      </w:r>
      <w:r>
        <w:rPr>
          <w:rFonts w:ascii="Calibri" w:eastAsia="Calibri" w:hAnsi="Calibri" w:cs="Calibri"/>
          <w:sz w:val="21"/>
        </w:rPr>
        <w:t xml:space="preserve"> Four samples </w:t>
      </w:r>
      <w:r>
        <w:rPr>
          <w:rFonts w:ascii="Calibri" w:eastAsia="Calibri" w:hAnsi="Calibri" w:cs="Calibri"/>
          <w:sz w:val="21"/>
        </w:rPr>
        <w:t>are permitted</w:t>
      </w:r>
      <w:r>
        <w:rPr>
          <w:rFonts w:ascii="Calibri" w:eastAsia="Calibri" w:hAnsi="Calibri" w:cs="Calibri"/>
          <w:sz w:val="21"/>
        </w:rPr>
        <w:t xml:space="preserve">. This yields an order-of-magnitude comparison, not a </w:t>
      </w:r>
      <w:r>
        <w:rPr>
          <w:rFonts w:ascii="Calibri" w:eastAsia="Calibri" w:hAnsi="Calibri" w:cs="Calibri"/>
          <w:i/>
          <w:sz w:val="21"/>
        </w:rPr>
        <w:t>p</w:t>
      </w:r>
      <w:r>
        <w:rPr>
          <w:rFonts w:ascii="Calibri" w:eastAsia="Calibri" w:hAnsi="Calibri" w:cs="Calibri"/>
          <w:sz w:val="21"/>
        </w:rPr>
        <w:t>-value.</w:t>
      </w:r>
    </w:p>
    <w:p>
      <w:pPr>
        <w:numPr>
          <w:ilvl w:val="0"/>
          <w:numId w:val="2"/>
        </w:numPr>
      </w:pPr>
      <w:r>
        <w:rPr>
          <w:rFonts w:ascii="Calibri" w:eastAsia="Calibri" w:hAnsi="Calibri" w:cs="Calibri"/>
          <w:b/>
          <w:sz w:val="21"/>
        </w:rPr>
        <w:t>The absence</w:t>
      </w:r>
      <w:r>
        <w:rPr>
          <w:rFonts w:ascii="Calibri" w:eastAsia="Calibri" w:hAnsi="Calibri" w:cs="Calibri"/>
          <w:b/>
          <w:sz w:val="21"/>
        </w:rPr>
        <w:t xml:space="preserve"> of evidence is not evidence of absence.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>The fact that</w:t>
      </w:r>
      <w:r>
        <w:rPr>
          <w:rFonts w:ascii="Calibri" w:eastAsia="Calibri" w:hAnsi="Calibri" w:cs="Calibri"/>
          <w:sz w:val="21"/>
        </w:rPr>
        <w:t xml:space="preserve"> the female response is not resolvable above background does not show that female flies do not respond to cocaine.</w:t>
      </w:r>
      <w:r>
        <w:rPr>
          <w:rFonts w:ascii="Calibri" w:eastAsia="Calibri" w:hAnsi="Calibri" w:cs="Calibri"/>
          <w:sz w:val="21"/>
        </w:rPr>
        <w:t xml:space="preserve"> A real effect smaller than the between-sample variation would appear identical.</w:t>
      </w:r>
    </w:p>
    <w:p>
      <w:pPr>
        <w:numPr>
          <w:ilvl w:val="0"/>
          <w:numId w:val="2"/>
        </w:numPr>
      </w:pPr>
      <w:r>
        <w:rPr>
          <w:rFonts w:ascii="Calibri" w:eastAsia="Calibri" w:hAnsi="Calibri" w:cs="Calibri"/>
          <w:b/>
          <w:sz w:val="21"/>
        </w:rPr>
        <w:t>Six clusters (15.7% of cells) were left unannotated,</w:t>
      </w:r>
      <w:r>
        <w:rPr>
          <w:rFonts w:ascii="Calibri" w:eastAsia="Calibri" w:hAnsi="Calibri" w:cs="Calibri"/>
          <w:sz w:val="21"/>
        </w:rPr>
        <w:t xml:space="preserve"> including the cluster ranking highest under size-matched analysis.</w:t>
      </w:r>
      <w:r>
        <w:rPr>
          <w:rFonts w:ascii="Calibri" w:eastAsia="Calibri" w:hAnsi="Calibri" w:cs="Calibri"/>
          <w:sz w:val="21"/>
        </w:rPr>
        <w:t xml:space="preserve"> Reference-based label transfer against an existing fly brain atlas would likely resolve several </w:t>
      </w:r>
      <w:r>
        <w:rPr>
          <w:rFonts w:ascii="Calibri" w:eastAsia="Calibri" w:hAnsi="Calibri" w:cs="Calibri"/>
          <w:sz w:val="21"/>
        </w:rPr>
        <w:t xml:space="preserve">issues </w:t>
      </w:r>
      <w:r>
        <w:rPr>
          <w:rFonts w:ascii="Calibri" w:eastAsia="Calibri" w:hAnsi="Calibri" w:cs="Calibri"/>
          <w:sz w:val="21"/>
        </w:rPr>
        <w:t>and was not attempted.</w:t>
      </w:r>
    </w:p>
    <w:p>
      <w:pPr>
        <w:numPr>
          <w:ilvl w:val="0"/>
          <w:numId w:val="2"/>
        </w:numPr>
      </w:pPr>
      <w:r>
        <w:rPr>
          <w:rFonts w:ascii="Calibri" w:eastAsia="Calibri" w:hAnsi="Calibri" w:cs="Calibri"/>
          <w:b/>
          <w:sz w:val="21"/>
        </w:rPr>
        <w:t xml:space="preserve">The astrocyte comparison </w:t>
      </w:r>
      <w:r>
        <w:rPr>
          <w:rFonts w:ascii="Calibri" w:eastAsia="Calibri" w:hAnsi="Calibri" w:cs="Calibri"/>
          <w:b/>
          <w:sz w:val="21"/>
        </w:rPr>
        <w:t>was</w:t>
      </w:r>
      <w:r>
        <w:rPr>
          <w:rFonts w:ascii="Calibri" w:eastAsia="Calibri" w:hAnsi="Calibri" w:cs="Calibri"/>
          <w:b/>
          <w:sz w:val="21"/>
        </w:rPr>
        <w:t xml:space="preserve"> untested rather than negative.</w:t>
      </w:r>
      <w:r>
        <w:rPr>
          <w:rFonts w:ascii="Calibri" w:eastAsia="Calibri" w:hAnsi="Calibri" w:cs="Calibri"/>
          <w:sz w:val="21"/>
        </w:rPr>
        <w:t xml:space="preserve"> The genuine astrocyte-like population identified here </w:t>
      </w:r>
      <w:r>
        <w:rPr>
          <w:rFonts w:ascii="Calibri" w:eastAsia="Calibri" w:hAnsi="Calibri" w:cs="Calibri"/>
          <w:sz w:val="21"/>
        </w:rPr>
        <w:t>contained</w:t>
      </w:r>
      <w:r>
        <w:rPr>
          <w:rFonts w:ascii="Calibri" w:eastAsia="Calibri" w:hAnsi="Calibri" w:cs="Calibri"/>
          <w:sz w:val="21"/>
        </w:rPr>
        <w:t xml:space="preserve"> 143 cells</w:t>
      </w:r>
      <w:r>
        <w:rPr>
          <w:rFonts w:ascii="Calibri" w:eastAsia="Calibri" w:hAnsi="Calibri" w:cs="Calibri"/>
          <w:sz w:val="21"/>
        </w:rPr>
        <w:t>, which was</w:t>
      </w:r>
      <w:r>
        <w:rPr>
          <w:rFonts w:ascii="Calibri" w:eastAsia="Calibri" w:hAnsi="Calibri" w:cs="Calibri"/>
          <w:sz w:val="21"/>
        </w:rPr>
        <w:t xml:space="preserve"> too few for differential expression</w:t>
      </w:r>
      <w:r>
        <w:rPr>
          <w:rFonts w:ascii="Calibri" w:eastAsia="Calibri" w:hAnsi="Calibri" w:cs="Calibri"/>
          <w:sz w:val="21"/>
        </w:rPr>
        <w:t xml:space="preserve"> analysis</w:t>
      </w:r>
      <w:r>
        <w:rPr>
          <w:rFonts w:ascii="Calibri" w:eastAsia="Calibri" w:hAnsi="Calibri" w:cs="Calibri"/>
          <w:sz w:val="21"/>
        </w:rPr>
        <w:t>.</w:t>
      </w:r>
    </w:p>
    <w:p>
      <w:pPr>
        <w:numPr>
          <w:ilvl w:val="0"/>
          <w:numId w:val="2"/>
        </w:numPr>
      </w:pPr>
      <w:r>
        <w:rPr>
          <w:rFonts w:ascii="Calibri" w:eastAsia="Calibri" w:hAnsi="Calibri" w:cs="Calibri"/>
          <w:b/>
          <w:sz w:val="21"/>
        </w:rPr>
        <w:t>One cluster was excluded post hoc.</w:t>
      </w:r>
      <w:r>
        <w:rPr>
          <w:rFonts w:ascii="Calibri" w:eastAsia="Calibri" w:hAnsi="Calibri" w:cs="Calibri"/>
          <w:sz w:val="21"/>
        </w:rPr>
        <w:t xml:space="preserve"> The decision to drop cluster 1 was made after observing its depth imbalance, which is a form of analytical flexibility.</w:t>
      </w:r>
      <w:r>
        <w:rPr>
          <w:rFonts w:ascii="Calibri" w:eastAsia="Calibri" w:hAnsi="Calibri" w:cs="Calibri"/>
          <w:sz w:val="21"/>
        </w:rPr>
        <w:t xml:space="preserve"> The reasoning is stated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and the data retained</w:t>
      </w:r>
      <w:r>
        <w:rPr>
          <w:rFonts w:ascii="Calibri" w:eastAsia="Calibri" w:hAnsi="Calibri" w:cs="Calibri"/>
          <w:sz w:val="21"/>
        </w:rPr>
        <w:t>; however,</w:t>
      </w:r>
      <w:r>
        <w:rPr>
          <w:rFonts w:ascii="Calibri" w:eastAsia="Calibri" w:hAnsi="Calibri" w:cs="Calibri"/>
          <w:sz w:val="21"/>
        </w:rPr>
        <w:t xml:space="preserve"> a pre-registered exclusion rule would be stronger.</w:t>
      </w:r>
    </w:p>
    <w:p>
      <w:pPr>
        <w:numPr>
          <w:ilvl w:val="0"/>
          <w:numId w:val="2"/>
        </w:numPr>
      </w:pPr>
      <w:r>
        <w:rPr>
          <w:rFonts w:ascii="Calibri" w:eastAsia="Calibri" w:hAnsi="Calibri" w:cs="Calibri"/>
          <w:b/>
          <w:sz w:val="21"/>
        </w:rPr>
        <w:t>Pseudobulk analyses were restricted to a reduced gene set.</w:t>
      </w:r>
      <w:r>
        <w:rPr>
          <w:rFonts w:ascii="Calibri" w:eastAsia="Calibri" w:hAnsi="Calibri" w:cs="Calibri"/>
          <w:sz w:val="21"/>
        </w:rPr>
        <w:t xml:space="preserve"> The concordance check used highly variable genes only (2,000 of 12,189), and the interaction model </w:t>
      </w:r>
      <w:r>
        <w:rPr>
          <w:rFonts w:ascii="Calibri" w:eastAsia="Calibri" w:hAnsi="Calibri" w:cs="Calibri"/>
          <w:sz w:val="21"/>
        </w:rPr>
        <w:t xml:space="preserve">used </w:t>
      </w:r>
      <w:r>
        <w:rPr>
          <w:rFonts w:ascii="Calibri" w:eastAsia="Calibri" w:hAnsi="Calibri" w:cs="Calibri"/>
          <w:sz w:val="21"/>
        </w:rPr>
        <w:t>9,397 genes after a minimum-count filter.</w:t>
      </w:r>
    </w:p>
    <w:p>
      <w:pPr>
        <w:numPr>
          <w:ilvl w:val="0"/>
          <w:numId w:val="2"/>
        </w:numPr>
      </w:pPr>
      <w:r>
        <w:rPr>
          <w:rFonts w:ascii="Calibri" w:eastAsia="Calibri" w:hAnsi="Calibri" w:cs="Calibri"/>
          <w:b/>
          <w:sz w:val="21"/>
        </w:rPr>
        <w:t>Enrichment used a whole-genome background,</w:t>
      </w:r>
      <w:r>
        <w:rPr>
          <w:rFonts w:ascii="Calibri" w:eastAsia="Calibri" w:hAnsi="Calibri" w:cs="Calibri"/>
          <w:sz w:val="21"/>
        </w:rPr>
        <w:t xml:space="preserve"> which is optimistic for brain-expressed </w:t>
      </w:r>
      <w:r>
        <w:rPr>
          <w:rFonts w:ascii="Calibri" w:eastAsia="Calibri" w:hAnsi="Calibri" w:cs="Calibri"/>
          <w:sz w:val="21"/>
        </w:rPr>
        <w:t>genes</w:t>
      </w:r>
      <w:r>
        <w:rPr>
          <w:rFonts w:ascii="Calibri" w:eastAsia="Calibri" w:hAnsi="Calibri" w:cs="Calibri"/>
          <w:sz w:val="21"/>
        </w:rPr>
        <w:t>.</w:t>
      </w:r>
    </w:p>
    <w:p>
      <w:pPr>
        <w:numPr>
          <w:ilvl w:val="0"/>
          <w:numId w:val="2"/>
        </w:numPr>
      </w:pPr>
      <w:r>
        <w:rPr>
          <w:rFonts w:ascii="Calibri" w:eastAsia="Calibri" w:hAnsi="Calibri" w:cs="Calibri"/>
          <w:b/>
          <w:sz w:val="21"/>
        </w:rPr>
        <w:t>No integration or ambient-RNA correction was applied.</w:t>
      </w:r>
      <w:r>
        <w:rPr>
          <w:rFonts w:ascii="Calibri" w:eastAsia="Calibri" w:hAnsi="Calibri" w:cs="Calibri"/>
          <w:sz w:val="21"/>
        </w:rPr>
        <w:t xml:space="preserve"> Both were </w:t>
      </w:r>
      <w:r>
        <w:rPr>
          <w:rFonts w:ascii="Calibri" w:eastAsia="Calibri" w:hAnsi="Calibri" w:cs="Calibri"/>
          <w:sz w:val="21"/>
        </w:rPr>
        <w:t>deemed</w:t>
      </w:r>
      <w:r>
        <w:rPr>
          <w:rFonts w:ascii="Calibri" w:eastAsia="Calibri" w:hAnsi="Calibri" w:cs="Calibri"/>
          <w:sz w:val="21"/>
        </w:rPr>
        <w:t xml:space="preserve"> unnecessary, but neither decision was formally tested.</w:t>
      </w:r>
    </w:p>
    <w:p>
      <w:pPr>
        <w:numPr>
          <w:ilvl w:val="0"/>
          <w:numId w:val="0"/>
        </w:numPr>
      </w:pPr>
    </w:p>
    <w:p>
      <w:pPr>
        <w:pStyle w:val="Heading2"/>
        <w:numPr>
          <w:ilvl w:val="0"/>
          <w:numId w:val="0"/>
        </w:numPr>
      </w:pPr>
      <w:r>
        <w:rPr>
          <w:rFonts w:ascii="Calibri" w:eastAsia="Calibri" w:hAnsi="Calibri" w:cs="Calibri"/>
          <w:b/>
          <w:color w:val="2E5C8A"/>
          <w:sz w:val="24"/>
        </w:rPr>
        <w:t>5.3 What would settle the open questions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>More biological replicates. Four flies-worth of preparation per sex cannot distinguish a modest treatment effect from dissection variability, and no statistical method recovers information the design does not contain.</w:t>
      </w:r>
      <w:r>
        <w:rPr>
          <w:rFonts w:ascii="Calibri" w:eastAsia="Calibri" w:hAnsi="Calibri" w:cs="Calibri"/>
          <w:sz w:val="21"/>
        </w:rPr>
        <w:t xml:space="preserve"> Six to eight replicates per arm, with dissection </w:t>
      </w:r>
      <w:r>
        <w:rPr>
          <w:rFonts w:ascii="Calibri" w:eastAsia="Calibri" w:hAnsi="Calibri" w:cs="Calibri"/>
          <w:sz w:val="21"/>
        </w:rPr>
        <w:t>sessions</w:t>
      </w:r>
      <w:r>
        <w:rPr>
          <w:rFonts w:ascii="Calibri" w:eastAsia="Calibri" w:hAnsi="Calibri" w:cs="Calibri"/>
          <w:sz w:val="21"/>
        </w:rPr>
        <w:t xml:space="preserve"> recorded and balanced across </w:t>
      </w:r>
      <w:r>
        <w:rPr>
          <w:rFonts w:ascii="Calibri" w:eastAsia="Calibri" w:hAnsi="Calibri" w:cs="Calibri"/>
          <w:sz w:val="21"/>
        </w:rPr>
        <w:t>treatments</w:t>
      </w:r>
      <w:r>
        <w:rPr>
          <w:rFonts w:ascii="Calibri" w:eastAsia="Calibri" w:hAnsi="Calibri" w:cs="Calibri"/>
          <w:sz w:val="21"/>
        </w:rPr>
        <w:t>, would allow the female question to be answered rather than deferred.</w:t>
      </w:r>
      <w:r>
        <w:rPr>
          <w:rFonts w:ascii="Calibri" w:eastAsia="Calibri" w:hAnsi="Calibri" w:cs="Calibri"/>
          <w:sz w:val="21"/>
        </w:rPr>
        <w:t xml:space="preserve"> Recording and reporting per-sample quality metrics alongside treatment </w:t>
      </w:r>
      <w:r>
        <w:rPr>
          <w:rFonts w:ascii="Calibri" w:eastAsia="Calibri" w:hAnsi="Calibri" w:cs="Calibri"/>
          <w:sz w:val="21"/>
        </w:rPr>
        <w:t>comparisons</w:t>
      </w:r>
      <w:r>
        <w:rPr>
          <w:rFonts w:ascii="Calibri" w:eastAsia="Calibri" w:hAnsi="Calibri" w:cs="Calibri"/>
          <w:sz w:val="21"/>
        </w:rPr>
        <w:t xml:space="preserve"> would </w:t>
      </w:r>
      <w:r>
        <w:rPr>
          <w:rFonts w:ascii="Calibri" w:eastAsia="Calibri" w:hAnsi="Calibri" w:cs="Calibri"/>
          <w:sz w:val="21"/>
        </w:rPr>
        <w:t>allow readers to directly assess confounding</w:t>
      </w:r>
      <w:r>
        <w:rPr>
          <w:rFonts w:ascii="Calibri" w:eastAsia="Calibri" w:hAnsi="Calibri" w:cs="Calibri"/>
          <w:sz w:val="21"/>
        </w:rPr>
        <w:t>.</w:t>
      </w:r>
    </w:p>
    <w:p>
      <w:pPr>
        <w:jc w:val="both"/>
      </w:pPr>
    </w:p>
    <w:p>
      <w:pPr>
        <w:pStyle w:val="Heading1"/>
        <w:jc w:val="both"/>
      </w:pPr>
      <w:r>
        <w:rPr>
          <w:rFonts w:ascii="Calibri" w:eastAsia="Calibri" w:hAnsi="Calibri" w:cs="Calibri"/>
          <w:b/>
          <w:color w:val="1F3864"/>
          <w:sz w:val="30"/>
        </w:rPr>
        <w:t>6. Conclusions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>The design-level findings of Baker et al.</w:t>
      </w:r>
      <w:r>
        <w:rPr>
          <w:rFonts w:ascii="Calibri" w:eastAsia="Calibri" w:hAnsi="Calibri" w:cs="Calibri"/>
          <w:sz w:val="21"/>
        </w:rPr>
        <w:t xml:space="preserve"> (2021) </w:t>
      </w:r>
      <w:r>
        <w:rPr>
          <w:rFonts w:ascii="Calibri" w:eastAsia="Calibri" w:hAnsi="Calibri" w:cs="Calibri"/>
          <w:sz w:val="21"/>
        </w:rPr>
        <w:t>were reproduced</w:t>
      </w:r>
      <w:r>
        <w:rPr>
          <w:rFonts w:ascii="Calibri" w:eastAsia="Calibri" w:hAnsi="Calibri" w:cs="Calibri"/>
          <w:sz w:val="21"/>
        </w:rPr>
        <w:t xml:space="preserve"> under an independent pipeline.</w:t>
      </w:r>
      <w:r>
        <w:rPr>
          <w:rFonts w:ascii="Calibri" w:eastAsia="Calibri" w:hAnsi="Calibri" w:cs="Calibri"/>
          <w:sz w:val="21"/>
        </w:rPr>
        <w:t xml:space="preserve"> Cell count after quality control matched to within 0.05%; the clustering recovers the major neuronal and glial populations; the embedding is not driven by batch, sex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or treatment; and a male-biased transcriptional response is recoverable, as is near-zero overlap between the sexes.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 xml:space="preserve">The gene-level findings </w:t>
      </w:r>
      <w:r>
        <w:rPr>
          <w:rFonts w:ascii="Calibri" w:eastAsia="Calibri" w:hAnsi="Calibri" w:cs="Calibri"/>
          <w:sz w:val="21"/>
        </w:rPr>
        <w:t>were</w:t>
      </w:r>
      <w:r>
        <w:rPr>
          <w:rFonts w:ascii="Calibri" w:eastAsia="Calibri" w:hAnsi="Calibri" w:cs="Calibri"/>
          <w:sz w:val="21"/>
        </w:rPr>
        <w:t xml:space="preserve"> more fragile.</w:t>
      </w:r>
      <w:r>
        <w:rPr>
          <w:rFonts w:ascii="Calibri" w:eastAsia="Calibri" w:hAnsi="Calibri" w:cs="Calibri"/>
          <w:sz w:val="21"/>
        </w:rPr>
        <w:t xml:space="preserve"> The magnitude of the </w:t>
      </w:r>
      <w:r>
        <w:rPr>
          <w:rFonts w:ascii="Calibri" w:eastAsia="Calibri" w:hAnsi="Calibri" w:cs="Calibri"/>
          <w:sz w:val="21"/>
        </w:rPr>
        <w:t>sex</w:t>
      </w:r>
      <w:r>
        <w:rPr>
          <w:rFonts w:ascii="Calibri" w:eastAsia="Calibri" w:hAnsi="Calibri" w:cs="Calibri"/>
          <w:sz w:val="21"/>
        </w:rPr>
        <w:t xml:space="preserve"> bias </w:t>
      </w:r>
      <w:r>
        <w:rPr>
          <w:rFonts w:ascii="Calibri" w:eastAsia="Calibri" w:hAnsi="Calibri" w:cs="Calibri"/>
          <w:sz w:val="21"/>
        </w:rPr>
        <w:t>varied</w:t>
      </w:r>
      <w:r>
        <w:rPr>
          <w:rFonts w:ascii="Calibri" w:eastAsia="Calibri" w:hAnsi="Calibri" w:cs="Calibri"/>
          <w:sz w:val="21"/>
        </w:rPr>
        <w:t xml:space="preserve"> from 0.97-fold to 6.43-fold depending on whether genes or gene × cluster events </w:t>
      </w:r>
      <w:r>
        <w:rPr>
          <w:rFonts w:ascii="Calibri" w:eastAsia="Calibri" w:hAnsi="Calibri" w:cs="Calibri"/>
          <w:sz w:val="21"/>
        </w:rPr>
        <w:t>were</w:t>
      </w:r>
      <w:r>
        <w:rPr>
          <w:rFonts w:ascii="Calibri" w:eastAsia="Calibri" w:hAnsi="Calibri" w:cs="Calibri"/>
          <w:sz w:val="21"/>
        </w:rPr>
        <w:t xml:space="preserve"> counted and at which threshold.</w:t>
      </w:r>
      <w:r>
        <w:rPr>
          <w:rFonts w:ascii="Calibri" w:eastAsia="Calibri" w:hAnsi="Calibri" w:cs="Calibri"/>
          <w:sz w:val="21"/>
        </w:rPr>
        <w:t xml:space="preserve"> The most significant genes in each sex </w:t>
      </w:r>
      <w:r>
        <w:rPr>
          <w:rFonts w:ascii="Calibri" w:eastAsia="Calibri" w:hAnsi="Calibri" w:cs="Calibri"/>
          <w:sz w:val="21"/>
        </w:rPr>
        <w:t>coincided</w:t>
      </w:r>
      <w:r>
        <w:rPr>
          <w:rFonts w:ascii="Calibri" w:eastAsia="Calibri" w:hAnsi="Calibri" w:cs="Calibri"/>
          <w:sz w:val="21"/>
        </w:rPr>
        <w:t xml:space="preserve"> with measurable technical covariates — mitochondrial content in males</w:t>
      </w:r>
      <w:r>
        <w:rPr>
          <w:rFonts w:ascii="Calibri" w:eastAsia="Calibri" w:hAnsi="Calibri" w:cs="Calibri"/>
          <w:sz w:val="21"/>
        </w:rPr>
        <w:t xml:space="preserve"> and</w:t>
      </w:r>
      <w:r>
        <w:rPr>
          <w:rFonts w:ascii="Calibri" w:eastAsia="Calibri" w:hAnsi="Calibri" w:cs="Calibri"/>
          <w:sz w:val="21"/>
        </w:rPr>
        <w:t xml:space="preserve"> ambient RNA in females.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>In</w:t>
      </w:r>
      <w:r>
        <w:rPr>
          <w:rFonts w:ascii="Calibri" w:eastAsia="Calibri" w:hAnsi="Calibri" w:cs="Calibri"/>
          <w:sz w:val="21"/>
        </w:rPr>
        <w:t xml:space="preserve"> females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the treatment contrast </w:t>
      </w:r>
      <w:r>
        <w:rPr>
          <w:rFonts w:ascii="Calibri" w:eastAsia="Calibri" w:hAnsi="Calibri" w:cs="Calibri"/>
          <w:sz w:val="21"/>
        </w:rPr>
        <w:t>produced</w:t>
      </w:r>
      <w:r>
        <w:rPr>
          <w:rFonts w:ascii="Calibri" w:eastAsia="Calibri" w:hAnsi="Calibri" w:cs="Calibri"/>
          <w:sz w:val="21"/>
        </w:rPr>
        <w:t xml:space="preserve"> fewer differentially expressed genes than an incorrect grouping of the same samples, meaning </w:t>
      </w:r>
      <w:r>
        <w:rPr>
          <w:rFonts w:ascii="Calibri" w:eastAsia="Calibri" w:hAnsi="Calibri" w:cs="Calibri"/>
          <w:sz w:val="21"/>
        </w:rPr>
        <w:t xml:space="preserve">that </w:t>
      </w:r>
      <w:r>
        <w:rPr>
          <w:rFonts w:ascii="Calibri" w:eastAsia="Calibri" w:hAnsi="Calibri" w:cs="Calibri"/>
          <w:sz w:val="21"/>
        </w:rPr>
        <w:t xml:space="preserve">the reported female response </w:t>
      </w:r>
      <w:r>
        <w:rPr>
          <w:rFonts w:ascii="Calibri" w:eastAsia="Calibri" w:hAnsi="Calibri" w:cs="Calibri"/>
          <w:sz w:val="21"/>
        </w:rPr>
        <w:t xml:space="preserve">could </w:t>
      </w:r>
      <w:r>
        <w:rPr>
          <w:rFonts w:ascii="Calibri" w:eastAsia="Calibri" w:hAnsi="Calibri" w:cs="Calibri"/>
          <w:sz w:val="21"/>
        </w:rPr>
        <w:t>not be attributed to treatment on the basis of these data.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>Neither outcome is visible from the published figures.</w:t>
      </w:r>
      <w:r>
        <w:rPr>
          <w:rFonts w:ascii="Calibri" w:eastAsia="Calibri" w:hAnsi="Calibri" w:cs="Calibri"/>
          <w:sz w:val="21"/>
        </w:rPr>
        <w:t xml:space="preserve"> Both </w:t>
      </w:r>
      <w:r>
        <w:rPr>
          <w:rFonts w:ascii="Calibri" w:eastAsia="Calibri" w:hAnsi="Calibri" w:cs="Calibri"/>
          <w:sz w:val="21"/>
        </w:rPr>
        <w:t>can be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>computed</w:t>
      </w:r>
      <w:r>
        <w:rPr>
          <w:rFonts w:ascii="Calibri" w:eastAsia="Calibri" w:hAnsi="Calibri" w:cs="Calibri"/>
          <w:sz w:val="21"/>
        </w:rPr>
        <w:t xml:space="preserve"> from the deposited data in a few hours.</w:t>
      </w:r>
      <w:r>
        <w:rPr>
          <w:rFonts w:ascii="Calibri" w:eastAsia="Calibri" w:hAnsi="Calibri" w:cs="Calibri"/>
          <w:sz w:val="21"/>
        </w:rPr>
        <w:t xml:space="preserve"> The general lesson is that a differentially expressed gene count reported without a background comparison is difficult to interpret and that in small-n single-cell designs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the background can exceed the signal.</w:t>
      </w:r>
    </w:p>
    <w:p>
      <w:pPr>
        <w:jc w:val="both"/>
      </w:pPr>
    </w:p>
    <w:p>
      <w:pPr>
        <w:pStyle w:val="Heading1"/>
        <w:jc w:val="both"/>
      </w:pPr>
      <w:r>
        <w:rPr>
          <w:rFonts w:ascii="Calibri" w:eastAsia="Calibri" w:hAnsi="Calibri" w:cs="Calibri"/>
          <w:b/>
          <w:color w:val="1F3864"/>
          <w:sz w:val="30"/>
        </w:rPr>
        <w:t>7. References</w:t>
      </w:r>
    </w:p>
    <w:p/>
    <w:p>
      <w:r>
        <w:rPr>
          <w:rFonts w:ascii="Calibri" w:eastAsia="Calibri" w:hAnsi="Calibri" w:cs="Calibri"/>
          <w:sz w:val="20"/>
        </w:rPr>
        <w:t>Bainton RJ, Tsai LT, Schwabe T, DeSalvo M, Gaul U, Heberlein U.</w:t>
      </w:r>
      <w:r>
        <w:rPr>
          <w:rFonts w:ascii="Calibri" w:eastAsia="Calibri" w:hAnsi="Calibri" w:cs="Calibri"/>
          <w:sz w:val="20"/>
        </w:rPr>
        <w:t xml:space="preserve"> 2005. moody encodes two GPCRs that regulate cocaine behaviors and blood–brain barrier permeability in Drosophila. Cell 123: 145–156.</w:t>
      </w:r>
    </w:p>
    <w:p/>
    <w:p>
      <w:r>
        <w:rPr>
          <w:rFonts w:ascii="Calibri" w:eastAsia="Calibri" w:hAnsi="Calibri" w:cs="Calibri"/>
          <w:sz w:val="20"/>
        </w:rPr>
        <w:t>Baker BM, Mokashi SS, Shankar V, Hatfield JS, Hannah RC, Mackay TFC, Anholt RRH.</w:t>
      </w:r>
      <w:r>
        <w:rPr>
          <w:rFonts w:ascii="Calibri" w:eastAsia="Calibri" w:hAnsi="Calibri" w:cs="Calibri"/>
          <w:sz w:val="20"/>
        </w:rPr>
        <w:t xml:space="preserve"> 2021. The Drosophila brain on cocaine at single-cell resolution.</w:t>
      </w:r>
      <w:r>
        <w:rPr>
          <w:rFonts w:ascii="Calibri" w:eastAsia="Calibri" w:hAnsi="Calibri" w:cs="Calibri"/>
          <w:sz w:val="20"/>
        </w:rPr>
        <w:t xml:space="preserve"> Genome Research 31: 1927–1937. doi:10.1101/gr.268037.120</w:t>
      </w:r>
    </w:p>
    <w:p/>
    <w:p>
      <w:r>
        <w:rPr>
          <w:rFonts w:ascii="Calibri" w:eastAsia="Calibri" w:hAnsi="Calibri" w:cs="Calibri"/>
          <w:sz w:val="20"/>
        </w:rPr>
        <w:t>Becht E, McInnes L, Healy J, Dutertre C, Kwok IWH, Ng LG, Ginhoux F, Newell EW.</w:t>
      </w:r>
      <w:r>
        <w:rPr>
          <w:rFonts w:ascii="Calibri" w:eastAsia="Calibri" w:hAnsi="Calibri" w:cs="Calibri"/>
          <w:sz w:val="20"/>
        </w:rPr>
        <w:t xml:space="preserve"> 2019. Dimensionality reduction for visualizing single-cell data using UMAP. Nature Biotechnology 37: 38–44.</w:t>
      </w:r>
    </w:p>
    <w:p/>
    <w:p>
      <w:r>
        <w:rPr>
          <w:rFonts w:ascii="Calibri" w:eastAsia="Calibri" w:hAnsi="Calibri" w:cs="Calibri"/>
          <w:sz w:val="20"/>
        </w:rPr>
        <w:t>Becker JB, Koob GF. 2016.</w:t>
      </w:r>
      <w:r>
        <w:rPr>
          <w:rFonts w:ascii="Calibri" w:eastAsia="Calibri" w:hAnsi="Calibri" w:cs="Calibri"/>
          <w:sz w:val="20"/>
        </w:rPr>
        <w:t xml:space="preserve"> Sex differences in animal models: </w:t>
      </w:r>
      <w:r>
        <w:rPr>
          <w:rFonts w:ascii="Calibri" w:eastAsia="Calibri" w:hAnsi="Calibri" w:cs="Calibri"/>
          <w:sz w:val="20"/>
        </w:rPr>
        <w:t>Focus</w:t>
      </w:r>
      <w:r>
        <w:rPr>
          <w:rFonts w:ascii="Calibri" w:eastAsia="Calibri" w:hAnsi="Calibri" w:cs="Calibri"/>
          <w:sz w:val="20"/>
        </w:rPr>
        <w:t xml:space="preserve"> on addiction. Pharmacological Reviews 68: 242–263.</w:t>
      </w:r>
    </w:p>
    <w:p/>
    <w:p>
      <w:r>
        <w:rPr>
          <w:rFonts w:ascii="Calibri" w:eastAsia="Calibri" w:hAnsi="Calibri" w:cs="Calibri"/>
          <w:sz w:val="20"/>
        </w:rPr>
        <w:t>Butler A, Hoffman P, Smibert P, Papalexi E, Satija R.</w:t>
      </w:r>
      <w:r>
        <w:rPr>
          <w:rFonts w:ascii="Calibri" w:eastAsia="Calibri" w:hAnsi="Calibri" w:cs="Calibri"/>
          <w:sz w:val="20"/>
        </w:rPr>
        <w:t xml:space="preserve"> 2018. Integrating single-cell transcriptomic data across different conditions, technologies, and species. Nature Biotechnology 36: 411–420.</w:t>
      </w:r>
    </w:p>
    <w:p/>
    <w:p>
      <w:r>
        <w:rPr>
          <w:rFonts w:ascii="Calibri" w:eastAsia="Calibri" w:hAnsi="Calibri" w:cs="Calibri"/>
          <w:sz w:val="20"/>
        </w:rPr>
        <w:t>Chang H, Grygoruk A, Brooks E, Ackerson LC, Maidment NT, Bainton RJ, Krantz DE.</w:t>
      </w:r>
      <w:r>
        <w:rPr>
          <w:rFonts w:ascii="Calibri" w:eastAsia="Calibri" w:hAnsi="Calibri" w:cs="Calibri"/>
          <w:sz w:val="20"/>
        </w:rPr>
        <w:t xml:space="preserve"> 2006. Overexpression of the Drosophila vesicular monoamine transporter increases motor activity and courtship but decreases the behavioral response to cocaine. Molecular Psychiatry 11: 99–113.</w:t>
      </w:r>
    </w:p>
    <w:p/>
    <w:p>
      <w:r>
        <w:rPr>
          <w:rFonts w:ascii="Calibri" w:eastAsia="Calibri" w:hAnsi="Calibri" w:cs="Calibri"/>
          <w:sz w:val="20"/>
        </w:rPr>
        <w:t>Corey YL, Quick MW, Davidson QN, Lester HA, Guastella J. 1994.</w:t>
      </w:r>
      <w:r>
        <w:rPr>
          <w:rFonts w:ascii="Calibri" w:eastAsia="Calibri" w:hAnsi="Calibri" w:cs="Calibri"/>
          <w:sz w:val="20"/>
        </w:rPr>
        <w:t xml:space="preserve"> A cocaine-sensitive Drosophila serotonin transporter: cloning, expression, and electrophysiological characterization.</w:t>
      </w:r>
      <w:r>
        <w:rPr>
          <w:rFonts w:ascii="Calibri" w:eastAsia="Calibri" w:hAnsi="Calibri" w:cs="Calibri"/>
          <w:sz w:val="20"/>
        </w:rPr>
        <w:t xml:space="preserve"> Proceedings of the National Academy of Sciences 91: 1188–1192.</w:t>
      </w:r>
    </w:p>
    <w:p/>
    <w:p>
      <w:r>
        <w:rPr>
          <w:rFonts w:ascii="Calibri" w:eastAsia="Calibri" w:hAnsi="Calibri" w:cs="Calibri"/>
          <w:sz w:val="20"/>
        </w:rPr>
        <w:t>Croset V, Treiber CD, Waddell S. 2018.</w:t>
      </w:r>
      <w:r>
        <w:rPr>
          <w:rFonts w:ascii="Calibri" w:eastAsia="Calibri" w:hAnsi="Calibri" w:cs="Calibri"/>
          <w:sz w:val="20"/>
        </w:rPr>
        <w:t xml:space="preserve"> Cellular diversity in the Drosophila midbrain revealed by single-cell transcriptomics. eLife 7: e34550.</w:t>
      </w:r>
    </w:p>
    <w:p/>
    <w:p>
      <w:r>
        <w:rPr>
          <w:rFonts w:ascii="Calibri" w:eastAsia="Calibri" w:hAnsi="Calibri" w:cs="Calibri"/>
          <w:sz w:val="20"/>
        </w:rPr>
        <w:t>Davie K, Janssens J, Koldere D, De Waegeneer M, Pech U, Kreft Ł, Aibar S, Makhzami S, Christiaens V, Bravo González-Blas C, et al.</w:t>
      </w:r>
      <w:r>
        <w:rPr>
          <w:rFonts w:ascii="Calibri" w:eastAsia="Calibri" w:hAnsi="Calibri" w:cs="Calibri"/>
          <w:sz w:val="20"/>
        </w:rPr>
        <w:t xml:space="preserve"> 2018. A single-cell transcriptome atlas of the aging Drosophila brain. Cell 174: 982–998.e20.</w:t>
      </w:r>
    </w:p>
    <w:p/>
    <w:p>
      <w:r>
        <w:rPr>
          <w:rFonts w:ascii="Calibri" w:eastAsia="Calibri" w:hAnsi="Calibri" w:cs="Calibri"/>
          <w:sz w:val="20"/>
        </w:rPr>
        <w:t>DeSalvo MK, Hindle SJ, Rusan ZM, Orng S, Eddison M, Halliwill K, Bainton RJ.</w:t>
      </w:r>
      <w:r>
        <w:rPr>
          <w:rFonts w:ascii="Calibri" w:eastAsia="Calibri" w:hAnsi="Calibri" w:cs="Calibri"/>
          <w:sz w:val="20"/>
        </w:rPr>
        <w:t xml:space="preserve"> 2014. The Drosophila surface glia transcriptome: evolutionary conserved blood–brain barrier processes.</w:t>
      </w:r>
      <w:r>
        <w:rPr>
          <w:rFonts w:ascii="Calibri" w:eastAsia="Calibri" w:hAnsi="Calibri" w:cs="Calibri"/>
          <w:sz w:val="20"/>
        </w:rPr>
        <w:t xml:space="preserve"> Frontiers in Neuroscience 8: 346.</w:t>
      </w:r>
    </w:p>
    <w:p/>
    <w:p>
      <w:r>
        <w:rPr>
          <w:rFonts w:ascii="Calibri" w:eastAsia="Calibri" w:hAnsi="Calibri" w:cs="Calibri"/>
          <w:sz w:val="20"/>
        </w:rPr>
        <w:t>Filošević A, Al-Samarai S, Andretić Waldowski R.</w:t>
      </w:r>
      <w:r>
        <w:rPr>
          <w:rFonts w:ascii="Calibri" w:eastAsia="Calibri" w:hAnsi="Calibri" w:cs="Calibri"/>
          <w:sz w:val="20"/>
        </w:rPr>
        <w:t xml:space="preserve"> 2018. High throughput measurement of locomotor sensitization to volatilized cocaine in Drosophila melanogaster.</w:t>
      </w:r>
      <w:r>
        <w:rPr>
          <w:rFonts w:ascii="Calibri" w:eastAsia="Calibri" w:hAnsi="Calibri" w:cs="Calibri"/>
          <w:sz w:val="20"/>
        </w:rPr>
        <w:t xml:space="preserve"> Frontiers in Molecular Neuroscience 11: 25.</w:t>
      </w:r>
    </w:p>
    <w:p/>
    <w:p>
      <w:r>
        <w:rPr>
          <w:rFonts w:ascii="Calibri" w:eastAsia="Calibri" w:hAnsi="Calibri" w:cs="Calibri"/>
          <w:sz w:val="20"/>
        </w:rPr>
        <w:t>Gelman A, Stern H. 2006.</w:t>
      </w:r>
      <w:r>
        <w:rPr>
          <w:rFonts w:ascii="Calibri" w:eastAsia="Calibri" w:hAnsi="Calibri" w:cs="Calibri"/>
          <w:sz w:val="20"/>
        </w:rPr>
        <w:t xml:space="preserve"> The difference between "significant" and "not significant" is not itself statistically significant.</w:t>
      </w:r>
      <w:r>
        <w:rPr>
          <w:rFonts w:ascii="Calibri" w:eastAsia="Calibri" w:hAnsi="Calibri" w:cs="Calibri"/>
          <w:sz w:val="20"/>
        </w:rPr>
        <w:t xml:space="preserve"> The American Statistician 60: 328–331.</w:t>
      </w:r>
    </w:p>
    <w:p/>
    <w:p>
      <w:r>
        <w:rPr>
          <w:rFonts w:ascii="Calibri" w:eastAsia="Calibri" w:hAnsi="Calibri" w:cs="Calibri"/>
          <w:sz w:val="20"/>
        </w:rPr>
        <w:t>Haas AL, Peters RH. 2000.</w:t>
      </w:r>
      <w:r>
        <w:rPr>
          <w:rFonts w:ascii="Calibri" w:eastAsia="Calibri" w:hAnsi="Calibri" w:cs="Calibri"/>
          <w:sz w:val="20"/>
        </w:rPr>
        <w:t xml:space="preserve"> Development of substance abuse problems among drug-involved offenders: evidence for the telescoping effect.</w:t>
      </w:r>
      <w:r>
        <w:rPr>
          <w:rFonts w:ascii="Calibri" w:eastAsia="Calibri" w:hAnsi="Calibri" w:cs="Calibri"/>
          <w:sz w:val="20"/>
        </w:rPr>
        <w:t xml:space="preserve"> Journal of Substance Abuse 12: 241–253.</w:t>
      </w:r>
    </w:p>
    <w:p/>
    <w:p>
      <w:r>
        <w:rPr>
          <w:rFonts w:ascii="Calibri" w:eastAsia="Calibri" w:hAnsi="Calibri" w:cs="Calibri"/>
          <w:sz w:val="20"/>
        </w:rPr>
        <w:t>Hafemeister C, Satija R. 2019.</w:t>
      </w:r>
      <w:r>
        <w:rPr>
          <w:rFonts w:ascii="Calibri" w:eastAsia="Calibri" w:hAnsi="Calibri" w:cs="Calibri"/>
          <w:sz w:val="20"/>
        </w:rPr>
        <w:t xml:space="preserve"> Normalization and variance stabilization of single-cell RNA-seq data using regularized negative binomial regression. Genome Biology 20: 296.</w:t>
      </w:r>
    </w:p>
    <w:p/>
    <w:p>
      <w:r>
        <w:rPr>
          <w:rFonts w:ascii="Calibri" w:eastAsia="Calibri" w:hAnsi="Calibri" w:cs="Calibri"/>
          <w:sz w:val="20"/>
        </w:rPr>
        <w:t>Highfill CA, Baker BM, Stevens SD, Anholt RRH, Mackay TFC.</w:t>
      </w:r>
      <w:r>
        <w:rPr>
          <w:rFonts w:ascii="Calibri" w:eastAsia="Calibri" w:hAnsi="Calibri" w:cs="Calibri"/>
          <w:sz w:val="20"/>
        </w:rPr>
        <w:t xml:space="preserve"> 2019. Genetics of cocaine and methamphetamine consumption and preference in Drosophila melanogaster. PLoS Genetics 15: e1007834.</w:t>
      </w:r>
    </w:p>
    <w:p/>
    <w:p>
      <w:r>
        <w:rPr>
          <w:rFonts w:ascii="Calibri" w:eastAsia="Calibri" w:hAnsi="Calibri" w:cs="Calibri"/>
          <w:sz w:val="20"/>
        </w:rPr>
        <w:t>Huang W, Massouras A, Inoue Y, Peiffer J, Ràmia M, Tarone AM, Turlapati L, Zichner T, Zhu D, Lyman RF, et al.</w:t>
      </w:r>
      <w:r>
        <w:rPr>
          <w:rFonts w:ascii="Calibri" w:eastAsia="Calibri" w:hAnsi="Calibri" w:cs="Calibri"/>
          <w:sz w:val="20"/>
        </w:rPr>
        <w:t xml:space="preserve"> 2014. Natural variation in genome architecture among 205 Drosophila melanogaster Genetic Reference Panel lines. Genome Research 24: 1193–1208.</w:t>
      </w:r>
    </w:p>
    <w:p/>
    <w:p>
      <w:r>
        <w:rPr>
          <w:rFonts w:ascii="Calibri" w:eastAsia="Calibri" w:hAnsi="Calibri" w:cs="Calibri"/>
          <w:sz w:val="20"/>
        </w:rPr>
        <w:t>Ja WW, Carvalho GB, Mak EM, de la Rosa NN, Fang AY, Liong JC, Brummel T, Benzer S. 2007.</w:t>
      </w:r>
      <w:r>
        <w:rPr>
          <w:rFonts w:ascii="Calibri" w:eastAsia="Calibri" w:hAnsi="Calibri" w:cs="Calibri"/>
          <w:sz w:val="20"/>
        </w:rPr>
        <w:t xml:space="preserve"> Prandiology of Drosophila and the CAFE assay.</w:t>
      </w:r>
      <w:r>
        <w:rPr>
          <w:rFonts w:ascii="Calibri" w:eastAsia="Calibri" w:hAnsi="Calibri" w:cs="Calibri"/>
          <w:sz w:val="20"/>
        </w:rPr>
        <w:t xml:space="preserve"> Proceedings of the National Academy of Sciences 104: 8253–8256.</w:t>
      </w:r>
    </w:p>
    <w:p/>
    <w:p>
      <w:r>
        <w:rPr>
          <w:rFonts w:ascii="Calibri" w:eastAsia="Calibri" w:hAnsi="Calibri" w:cs="Calibri"/>
          <w:sz w:val="20"/>
        </w:rPr>
        <w:t>Kaun KR, Devineni AV, Heberlein U.</w:t>
      </w:r>
      <w:r>
        <w:rPr>
          <w:rFonts w:ascii="Calibri" w:eastAsia="Calibri" w:hAnsi="Calibri" w:cs="Calibri"/>
          <w:sz w:val="20"/>
        </w:rPr>
        <w:t xml:space="preserve"> 2012. Drosophila melanogaster as a model to study drug addiction. Human Genetics 131: 959–975.</w:t>
      </w:r>
    </w:p>
    <w:p/>
    <w:p>
      <w:r>
        <w:rPr>
          <w:rFonts w:ascii="Calibri" w:eastAsia="Calibri" w:hAnsi="Calibri" w:cs="Calibri"/>
          <w:sz w:val="20"/>
        </w:rPr>
        <w:t>Kremer MC, Jung C, Batelli S, Rubin GM, Gaul U.</w:t>
      </w:r>
      <w:r>
        <w:rPr>
          <w:rFonts w:ascii="Calibri" w:eastAsia="Calibri" w:hAnsi="Calibri" w:cs="Calibri"/>
          <w:sz w:val="20"/>
        </w:rPr>
        <w:t xml:space="preserve"> 2017. The glia of the adult Drosophila nervous system. Glia 65: 606–638.</w:t>
      </w:r>
    </w:p>
    <w:p/>
    <w:p>
      <w:r>
        <w:rPr>
          <w:rFonts w:ascii="Calibri" w:eastAsia="Calibri" w:hAnsi="Calibri" w:cs="Calibri"/>
          <w:sz w:val="20"/>
        </w:rPr>
        <w:t>Lukas SE, Dorsey CM, Mello NK, Mendelson JH, Lundahl LH, Sholar M, Cunningham SL.</w:t>
      </w:r>
      <w:r>
        <w:rPr>
          <w:rFonts w:ascii="Calibri" w:eastAsia="Calibri" w:hAnsi="Calibri" w:cs="Calibri"/>
          <w:sz w:val="20"/>
        </w:rPr>
        <w:t xml:space="preserve"> 1996. Reversal of sleep disturbances in cocaine- and heroin-dependent men during chronic buprenorphine treatment.</w:t>
      </w:r>
      <w:r>
        <w:rPr>
          <w:rFonts w:ascii="Calibri" w:eastAsia="Calibri" w:hAnsi="Calibri" w:cs="Calibri"/>
          <w:sz w:val="20"/>
        </w:rPr>
        <w:t xml:space="preserve"> Experimental and Clinical Psychopharmacology 4: 413–420.</w:t>
      </w:r>
    </w:p>
    <w:p/>
    <w:p>
      <w:r>
        <w:rPr>
          <w:rFonts w:ascii="Calibri" w:eastAsia="Calibri" w:hAnsi="Calibri" w:cs="Calibri"/>
          <w:sz w:val="20"/>
        </w:rPr>
        <w:t>Mackay TFC, Richards S, Stone EA, Barbadilla A, Ayroles JF, Zhu D, Casillas S, Han Y, Magwire MM, Cridland JM, et al.</w:t>
      </w:r>
      <w:r>
        <w:rPr>
          <w:rFonts w:ascii="Calibri" w:eastAsia="Calibri" w:hAnsi="Calibri" w:cs="Calibri"/>
          <w:sz w:val="20"/>
        </w:rPr>
        <w:t xml:space="preserve"> 2012. The Drosophila melanogaster Genetic Reference Panel. Nature 482: 173–178.</w:t>
      </w:r>
    </w:p>
    <w:p/>
    <w:p>
      <w:r>
        <w:rPr>
          <w:rFonts w:ascii="Calibri" w:eastAsia="Calibri" w:hAnsi="Calibri" w:cs="Calibri"/>
          <w:sz w:val="20"/>
        </w:rPr>
        <w:t>McClung C, Hirsh J. 1998.</w:t>
      </w:r>
      <w:r>
        <w:rPr>
          <w:rFonts w:ascii="Calibri" w:eastAsia="Calibri" w:hAnsi="Calibri" w:cs="Calibri"/>
          <w:sz w:val="20"/>
        </w:rPr>
        <w:t xml:space="preserve"> Stereotypic behavioral responses to free-base cocaine and the development of behavioral sensitization in Drosophila. Current Biology 8: 109–112.</w:t>
      </w:r>
    </w:p>
    <w:p/>
    <w:p>
      <w:r>
        <w:rPr>
          <w:rFonts w:ascii="Calibri" w:eastAsia="Calibri" w:hAnsi="Calibri" w:cs="Calibri"/>
          <w:sz w:val="20"/>
        </w:rPr>
        <w:t>Pandey UB, Nichols CD. 2011.</w:t>
      </w:r>
      <w:r>
        <w:rPr>
          <w:rFonts w:ascii="Calibri" w:eastAsia="Calibri" w:hAnsi="Calibri" w:cs="Calibri"/>
          <w:sz w:val="20"/>
        </w:rPr>
        <w:t xml:space="preserve"> Human disease models in Drosophila melanogaster and the role of the fly in therapeutic drug discovery. Pharmacological Reviews 63: 411–436.</w:t>
      </w:r>
    </w:p>
    <w:p/>
    <w:p>
      <w:r>
        <w:rPr>
          <w:rFonts w:ascii="Calibri" w:eastAsia="Calibri" w:hAnsi="Calibri" w:cs="Calibri"/>
          <w:sz w:val="20"/>
        </w:rPr>
        <w:t>Squair JW, Gautier M, Kathe C, Anderson MA, James ND, Hutson TH, Hudelle R, Qaiser T, Matson KJE, Barraud Q, et al.</w:t>
      </w:r>
      <w:r>
        <w:rPr>
          <w:rFonts w:ascii="Calibri" w:eastAsia="Calibri" w:hAnsi="Calibri" w:cs="Calibri"/>
          <w:sz w:val="20"/>
        </w:rPr>
        <w:t xml:space="preserve"> 2021. Confronting false discoveries in single-cell differential expression.</w:t>
      </w:r>
      <w:r>
        <w:rPr>
          <w:rFonts w:ascii="Calibri" w:eastAsia="Calibri" w:hAnsi="Calibri" w:cs="Calibri"/>
          <w:sz w:val="20"/>
        </w:rPr>
        <w:t xml:space="preserve"> Nature Communications 12: 5692. doi:10.1038/s41467-021-25960-2</w:t>
      </w:r>
    </w:p>
    <w:p/>
    <w:p>
      <w:r>
        <w:rPr>
          <w:rFonts w:ascii="Calibri" w:eastAsia="Calibri" w:hAnsi="Calibri" w:cs="Calibri"/>
          <w:sz w:val="20"/>
        </w:rPr>
        <w:t>Thurmond J, Goodman JL, Strelets VB, Attrill H, Gramates LS, Marygold SJ, Matthews BB, Millburn G, Antonazzo G, Trovisco V, et al.</w:t>
      </w:r>
      <w:r>
        <w:rPr>
          <w:rFonts w:ascii="Calibri" w:eastAsia="Calibri" w:hAnsi="Calibri" w:cs="Calibri"/>
          <w:sz w:val="20"/>
        </w:rPr>
        <w:t xml:space="preserve"> 2019. FlyBase 2.0: the next generation.</w:t>
      </w:r>
      <w:r>
        <w:rPr>
          <w:rFonts w:ascii="Calibri" w:eastAsia="Calibri" w:hAnsi="Calibri" w:cs="Calibri"/>
          <w:sz w:val="20"/>
        </w:rPr>
        <w:t xml:space="preserve"> Nucleic Acids Research 47(D1): D759–D765.</w:t>
      </w:r>
    </w:p>
    <w:p/>
    <w:p>
      <w:r>
        <w:rPr>
          <w:rFonts w:ascii="Calibri" w:eastAsia="Calibri" w:hAnsi="Calibri" w:cs="Calibri"/>
          <w:sz w:val="20"/>
        </w:rPr>
        <w:t>Traag VA, Waltman L, van Eck NJ.</w:t>
      </w:r>
      <w:r>
        <w:rPr>
          <w:rFonts w:ascii="Calibri" w:eastAsia="Calibri" w:hAnsi="Calibri" w:cs="Calibri"/>
          <w:sz w:val="20"/>
        </w:rPr>
        <w:t xml:space="preserve"> 2019. From Louvain to Leiden: guaranteeing well-connected communities.</w:t>
      </w:r>
      <w:r>
        <w:rPr>
          <w:rFonts w:ascii="Calibri" w:eastAsia="Calibri" w:hAnsi="Calibri" w:cs="Calibri"/>
          <w:sz w:val="20"/>
        </w:rPr>
        <w:t xml:space="preserve"> Scientific Reports 9: 5233. doi:10.1038/s41598-019-41695-z</w:t>
      </w:r>
    </w:p>
    <w:p/>
    <w:p>
      <w:r>
        <w:rPr>
          <w:rFonts w:ascii="Calibri" w:eastAsia="Calibri" w:hAnsi="Calibri" w:cs="Calibri"/>
          <w:sz w:val="20"/>
        </w:rPr>
        <w:t>Wang KH, Penmatsa A, Gouaux E. 2015.</w:t>
      </w:r>
      <w:r>
        <w:rPr>
          <w:rFonts w:ascii="Calibri" w:eastAsia="Calibri" w:hAnsi="Calibri" w:cs="Calibri"/>
          <w:sz w:val="20"/>
        </w:rPr>
        <w:t xml:space="preserve"> Neurotransmitter and psychostimulant recognition by the dopamine transporter. Nature 521: 322–327.</w:t>
      </w:r>
    </w:p>
    <w:p/>
    <w:p>
      <w:r>
        <w:rPr>
          <w:rFonts w:ascii="Calibri" w:eastAsia="Calibri" w:hAnsi="Calibri" w:cs="Calibri"/>
          <w:sz w:val="20"/>
        </w:rPr>
        <w:t>Westermeyer J, Boedicker AE. 2000.</w:t>
      </w:r>
      <w:r>
        <w:rPr>
          <w:rFonts w:ascii="Calibri" w:eastAsia="Calibri" w:hAnsi="Calibri" w:cs="Calibri"/>
          <w:sz w:val="20"/>
        </w:rPr>
        <w:t xml:space="preserve"> Course, severity, and treatment of substance abuse among women versus men.</w:t>
      </w:r>
      <w:r>
        <w:rPr>
          <w:rFonts w:ascii="Calibri" w:eastAsia="Calibri" w:hAnsi="Calibri" w:cs="Calibri"/>
          <w:sz w:val="20"/>
        </w:rPr>
        <w:t xml:space="preserve"> American Journal of Drug and Alcohol Abuse 26: 523–535.</w:t>
      </w:r>
    </w:p>
    <w:p/>
    <w:p>
      <w:r>
        <w:rPr>
          <w:rFonts w:ascii="Calibri" w:eastAsia="Calibri" w:hAnsi="Calibri" w:cs="Calibri"/>
          <w:sz w:val="20"/>
        </w:rPr>
        <w:t>Wolf FA, Angerer P, Theis FJ.</w:t>
      </w:r>
      <w:r>
        <w:rPr>
          <w:rFonts w:ascii="Calibri" w:eastAsia="Calibri" w:hAnsi="Calibri" w:cs="Calibri"/>
          <w:sz w:val="20"/>
        </w:rPr>
        <w:t xml:space="preserve"> 2018. SCANPY: large-scale single-cell gene expression data analysis.</w:t>
      </w:r>
      <w:r>
        <w:rPr>
          <w:rFonts w:ascii="Calibri" w:eastAsia="Calibri" w:hAnsi="Calibri" w:cs="Calibri"/>
          <w:sz w:val="20"/>
        </w:rPr>
        <w:t xml:space="preserve"> Genome Biology 19: 15. doi:10.1186/s13059-017-1382-0</w:t>
      </w:r>
    </w:p>
    <w:p/>
    <w:p>
      <w:r>
        <w:rPr>
          <w:rFonts w:ascii="Calibri" w:eastAsia="Calibri" w:hAnsi="Calibri" w:cs="Calibri"/>
          <w:sz w:val="20"/>
        </w:rPr>
        <w:t>Young MD, Behjati S. 2020.</w:t>
      </w:r>
      <w:r>
        <w:rPr>
          <w:rFonts w:ascii="Calibri" w:eastAsia="Calibri" w:hAnsi="Calibri" w:cs="Calibri"/>
          <w:sz w:val="20"/>
        </w:rPr>
        <w:t xml:space="preserve"> SoupX removes ambient RNA contamination from droplet-based single-cell RNA sequencing data. GigaScience 9: giaa151. doi:10.1093/gigascience/giaa151</w:t>
      </w:r>
    </w:p>
    <w:p/>
    <w:p>
      <w:r>
        <w:rPr>
          <w:rFonts w:ascii="Calibri" w:eastAsia="Calibri" w:hAnsi="Calibri" w:cs="Calibri"/>
          <w:sz w:val="20"/>
        </w:rPr>
        <w:t>Zimmerman KD, Espeland MA, Langefeld CD.</w:t>
      </w:r>
      <w:r>
        <w:rPr>
          <w:rFonts w:ascii="Calibri" w:eastAsia="Calibri" w:hAnsi="Calibri" w:cs="Calibri"/>
          <w:sz w:val="20"/>
        </w:rPr>
        <w:t xml:space="preserve"> 2021. A practical solution to pseudoreplication bias in single-cell studies.</w:t>
      </w:r>
      <w:r>
        <w:rPr>
          <w:rFonts w:ascii="Calibri" w:eastAsia="Calibri" w:hAnsi="Calibri" w:cs="Calibri"/>
          <w:sz w:val="20"/>
        </w:rPr>
        <w:t xml:space="preserve"> Nature Communications 12: 738. doi:10.1038/s41467-021-21038-1</w:t>
      </w:r>
    </w:p>
    <w:p/>
    <w:p>
      <w:pPr>
        <w:pStyle w:val="Heading1"/>
      </w:pPr>
      <w:r>
        <w:rPr>
          <w:rFonts w:ascii="Calibri" w:eastAsia="Calibri" w:hAnsi="Calibri" w:cs="Calibri"/>
          <w:b/>
          <w:color w:val="1F3864"/>
          <w:sz w:val="30"/>
        </w:rPr>
        <w:t>Appendix A. Citation provenance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 xml:space="preserve">Citations to Bainton, Becht, Becker </w:t>
      </w:r>
      <w:r>
        <w:rPr>
          <w:rFonts w:ascii="Calibri" w:eastAsia="Calibri" w:hAnsi="Calibri" w:cs="Calibri"/>
          <w:sz w:val="21"/>
        </w:rPr>
        <w:t>and</w:t>
      </w:r>
      <w:r>
        <w:rPr>
          <w:rFonts w:ascii="Calibri" w:eastAsia="Calibri" w:hAnsi="Calibri" w:cs="Calibri"/>
          <w:sz w:val="21"/>
        </w:rPr>
        <w:t xml:space="preserve"> Koob, Butler, Chang, Corey, Croset, Davie, DeSalvo, Filošević, Haas </w:t>
      </w:r>
      <w:r>
        <w:rPr>
          <w:rFonts w:ascii="Calibri" w:eastAsia="Calibri" w:hAnsi="Calibri" w:cs="Calibri"/>
          <w:sz w:val="21"/>
        </w:rPr>
        <w:t>and</w:t>
      </w:r>
      <w:r>
        <w:rPr>
          <w:rFonts w:ascii="Calibri" w:eastAsia="Calibri" w:hAnsi="Calibri" w:cs="Calibri"/>
          <w:sz w:val="21"/>
        </w:rPr>
        <w:t xml:space="preserve"> Peters, Hafemeister </w:t>
      </w:r>
      <w:r>
        <w:rPr>
          <w:rFonts w:ascii="Calibri" w:eastAsia="Calibri" w:hAnsi="Calibri" w:cs="Calibri"/>
          <w:sz w:val="21"/>
        </w:rPr>
        <w:t>and</w:t>
      </w:r>
      <w:r>
        <w:rPr>
          <w:rFonts w:ascii="Calibri" w:eastAsia="Calibri" w:hAnsi="Calibri" w:cs="Calibri"/>
          <w:sz w:val="21"/>
        </w:rPr>
        <w:t xml:space="preserve"> Satija, Highfill, Huang, Ja, Kaun, Kremer, Lukas, Mackay, McClung </w:t>
      </w:r>
      <w:r>
        <w:rPr>
          <w:rFonts w:ascii="Calibri" w:eastAsia="Calibri" w:hAnsi="Calibri" w:cs="Calibri"/>
          <w:sz w:val="21"/>
        </w:rPr>
        <w:t>and</w:t>
      </w:r>
      <w:r>
        <w:rPr>
          <w:rFonts w:ascii="Calibri" w:eastAsia="Calibri" w:hAnsi="Calibri" w:cs="Calibri"/>
          <w:sz w:val="21"/>
        </w:rPr>
        <w:t xml:space="preserve"> Hirsh, Pandey </w:t>
      </w:r>
      <w:r>
        <w:rPr>
          <w:rFonts w:ascii="Calibri" w:eastAsia="Calibri" w:hAnsi="Calibri" w:cs="Calibri"/>
          <w:sz w:val="21"/>
        </w:rPr>
        <w:t>and</w:t>
      </w:r>
      <w:r>
        <w:rPr>
          <w:rFonts w:ascii="Calibri" w:eastAsia="Calibri" w:hAnsi="Calibri" w:cs="Calibri"/>
          <w:sz w:val="21"/>
        </w:rPr>
        <w:t xml:space="preserve"> Nichols, Thurmond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and Wang were taken directly from the reference list of Baker et al. (2021).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>Citations to Gelman &amp; Stern, Squair et al.,</w:t>
      </w:r>
      <w:r>
        <w:rPr>
          <w:rFonts w:ascii="Calibri" w:eastAsia="Calibri" w:hAnsi="Calibri" w:cs="Calibri"/>
          <w:sz w:val="21"/>
        </w:rPr>
        <w:t xml:space="preserve"> Traag et al., Wolf et al.,</w:t>
      </w:r>
      <w:r>
        <w:rPr>
          <w:rFonts w:ascii="Calibri" w:eastAsia="Calibri" w:hAnsi="Calibri" w:cs="Calibri"/>
          <w:sz w:val="21"/>
        </w:rPr>
        <w:t xml:space="preserve"> Young &amp; Behjati and Zimmerman et al.</w:t>
      </w:r>
      <w:r>
        <w:rPr>
          <w:rFonts w:ascii="Calibri" w:eastAsia="Calibri" w:hAnsi="Calibri" w:cs="Calibri"/>
          <w:sz w:val="21"/>
        </w:rPr>
        <w:t xml:space="preserve"> were verified against publisher records.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b/>
          <w:sz w:val="21"/>
        </w:rPr>
        <w:t>Not cited because not verified:</w:t>
      </w:r>
      <w:r>
        <w:rPr>
          <w:rFonts w:ascii="Calibri" w:eastAsia="Calibri" w:hAnsi="Calibri" w:cs="Calibri"/>
          <w:sz w:val="21"/>
        </w:rPr>
        <w:t xml:space="preserve"> formal citations for GSEApy, statsmodels, numpy, pandas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and scipy.</w:t>
      </w:r>
      <w:r>
        <w:rPr>
          <w:rFonts w:ascii="Calibri" w:eastAsia="Calibri" w:hAnsi="Calibri" w:cs="Calibri"/>
          <w:sz w:val="21"/>
        </w:rPr>
        <w:t xml:space="preserve"> These are named in </w:t>
      </w:r>
      <w:r>
        <w:rPr>
          <w:rFonts w:ascii="Calibri" w:eastAsia="Calibri" w:hAnsi="Calibri" w:cs="Calibri"/>
          <w:sz w:val="21"/>
        </w:rPr>
        <w:t xml:space="preserve">the Methods section </w:t>
      </w:r>
      <w:r>
        <w:rPr>
          <w:rFonts w:ascii="Calibri" w:eastAsia="Calibri" w:hAnsi="Calibri" w:cs="Calibri"/>
          <w:sz w:val="21"/>
        </w:rPr>
        <w:t>with version numbers; add the appropriate citations from their documentation before submission.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b/>
          <w:sz w:val="21"/>
        </w:rPr>
        <w:t>To confirm against the published article before submission:</w:t>
      </w:r>
      <w:r>
        <w:rPr>
          <w:rFonts w:ascii="Calibri" w:eastAsia="Calibri" w:hAnsi="Calibri" w:cs="Calibri"/>
          <w:sz w:val="21"/>
        </w:rPr>
        <w:t xml:space="preserve"> that Baker et al.</w:t>
      </w:r>
      <w:r>
        <w:rPr>
          <w:rFonts w:ascii="Calibri" w:eastAsia="Calibri" w:hAnsi="Calibri" w:cs="Calibri"/>
          <w:sz w:val="21"/>
        </w:rPr>
        <w:t xml:space="preserve"> report </w:t>
      </w:r>
      <w:r>
        <w:rPr>
          <w:rFonts w:ascii="Calibri" w:eastAsia="Calibri" w:hAnsi="Calibri" w:cs="Calibri"/>
          <w:sz w:val="21"/>
        </w:rPr>
        <w:t xml:space="preserve">a </w:t>
      </w:r>
      <w:r>
        <w:rPr>
          <w:rFonts w:ascii="Calibri" w:eastAsia="Calibri" w:hAnsi="Calibri" w:cs="Calibri"/>
          <w:sz w:val="21"/>
        </w:rPr>
        <w:t>cluster number stabilising at resolution 0.8, and the exact wording of the overlap claim in the Figure 3C legend.</w:t>
      </w:r>
    </w:p>
    <w:p>
      <w:pPr>
        <w:jc w:val="both"/>
      </w:pPr>
    </w:p>
    <w:p>
      <w:pPr>
        <w:pStyle w:val="Heading1"/>
        <w:jc w:val="both"/>
      </w:pPr>
      <w:r>
        <w:rPr>
          <w:rFonts w:ascii="Calibri" w:eastAsia="Calibri" w:hAnsi="Calibri" w:cs="Calibri"/>
          <w:b/>
          <w:color w:val="1F3864"/>
          <w:sz w:val="30"/>
        </w:rPr>
        <w:t>Appendix B. Data and code availability</w:t>
      </w:r>
    </w:p>
    <w:p/>
    <w:p>
      <w:pPr>
        <w:jc w:val="both"/>
      </w:pPr>
      <w:r>
        <w:rPr>
          <w:rFonts w:ascii="Calibri" w:eastAsia="Calibri" w:hAnsi="Calibri" w:cs="Calibri"/>
          <w:sz w:val="21"/>
        </w:rPr>
        <w:t>Raw data: NCBI Gene Expression Omnibus accession GSE152495.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>Analysis code, environment lockfile, result tables</w:t>
      </w:r>
      <w:r>
        <w:rPr>
          <w:rFonts w:ascii="Calibri" w:eastAsia="Calibri" w:hAnsi="Calibri" w:cs="Calibri"/>
          <w:sz w:val="21"/>
        </w:rPr>
        <w:t>,</w:t>
      </w:r>
      <w:r>
        <w:rPr>
          <w:rFonts w:ascii="Calibri" w:eastAsia="Calibri" w:hAnsi="Calibri" w:cs="Calibri"/>
          <w:sz w:val="21"/>
        </w:rPr>
        <w:t xml:space="preserve"> and figure-generating scripts: [insert repository URL].</w:t>
      </w:r>
    </w:p>
    <w:p>
      <w:pPr>
        <w:jc w:val="both"/>
      </w:pPr>
    </w:p>
    <w:p>
      <w:pPr>
        <w:jc w:val="both"/>
      </w:pPr>
      <w:r>
        <w:rPr>
          <w:rFonts w:ascii="Calibri" w:eastAsia="Calibri" w:hAnsi="Calibri" w:cs="Calibri"/>
          <w:sz w:val="21"/>
        </w:rPr>
        <w:t>The count</w:t>
      </w:r>
      <w:r>
        <w:rPr>
          <w:rFonts w:ascii="Calibri" w:eastAsia="Calibri" w:hAnsi="Calibri" w:cs="Calibri"/>
          <w:sz w:val="21"/>
        </w:rPr>
        <w:t xml:space="preserve"> matrices </w:t>
      </w:r>
      <w:r>
        <w:rPr>
          <w:rFonts w:ascii="Calibri" w:eastAsia="Calibri" w:hAnsi="Calibri" w:cs="Calibri"/>
          <w:sz w:val="21"/>
        </w:rPr>
        <w:t>were</w:t>
      </w:r>
      <w:r>
        <w:rPr>
          <w:rFonts w:ascii="Calibri" w:eastAsia="Calibri" w:hAnsi="Calibri" w:cs="Calibri"/>
          <w:sz w:val="21"/>
        </w:rPr>
        <w:t xml:space="preserve"> not redistributed; scripts to rebuild them from GEO are included in the repository.</w:t>
      </w:r>
    </w:p>
    <w:p>
      <w:pPr>
        <w:jc w:val="both"/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Symbol" w:eastAsia="Symbol" w:hAnsi="Symbol" w:cs="Symbol"/>
      </w:rPr>
    </w:lvl>
    <w:lvl w:ilvl="1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Symbol" w:eastAsia="Symbol" w:hAnsi="Symbol" w:cs="Symbol"/>
      </w:rPr>
    </w:lvl>
    <w:lvl w:ilvl="2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Symbol" w:eastAsia="Symbol" w:hAnsi="Symbol" w:cs="Symbol"/>
      </w:rPr>
    </w:lvl>
    <w:lvl w:ilvl="3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Symbol" w:eastAsia="Symbol" w:hAnsi="Symbol" w:cs="Symbol"/>
      </w:rPr>
    </w:lvl>
    <w:lvl w:ilvl="4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Symbol" w:eastAsia="Symbol" w:hAnsi="Symbol" w:cs="Symbol"/>
      </w:rPr>
    </w:lvl>
    <w:lvl w:ilvl="5">
      <w:start w:val="1"/>
      <w:numFmt w:val="bullet"/>
      <w:lvlText w:val="•"/>
      <w:lvlJc w:val="left"/>
      <w:pPr>
        <w:tabs>
          <w:tab w:val="num" w:pos="1980"/>
        </w:tabs>
        <w:ind w:left="1980" w:hanging="180"/>
      </w:pPr>
      <w:rPr>
        <w:rFonts w:ascii="Symbol" w:eastAsia="Symbol" w:hAnsi="Symbol" w:cs="Symbol"/>
      </w:rPr>
    </w:lvl>
    <w:lvl w:ilvl="6">
      <w:start w:val="1"/>
      <w:numFmt w:val="bullet"/>
      <w:lvlText w:val="•"/>
      <w:lvlJc w:val="left"/>
      <w:pPr>
        <w:tabs>
          <w:tab w:val="num" w:pos="2340"/>
        </w:tabs>
        <w:ind w:left="2340" w:hanging="180"/>
      </w:pPr>
      <w:rPr>
        <w:rFonts w:ascii="Symbol" w:eastAsia="Symbol" w:hAnsi="Symbol" w:cs="Symbol"/>
      </w:rPr>
    </w:lvl>
    <w:lvl w:ilvl="7">
      <w:start w:val="1"/>
      <w:numFmt w:val="bullet"/>
      <w:lvlText w:val="•"/>
      <w:lvlJc w:val="left"/>
      <w:pPr>
        <w:tabs>
          <w:tab w:val="num" w:pos="2700"/>
        </w:tabs>
        <w:ind w:left="2700" w:hanging="180"/>
      </w:pPr>
      <w:rPr>
        <w:rFonts w:ascii="Symbol" w:eastAsia="Symbol" w:hAnsi="Symbol" w:cs="Symbol"/>
      </w:rPr>
    </w:lvl>
    <w:lvl w:ilvl="8">
      <w:start w:val="1"/>
      <w:numFmt w:val="bullet"/>
      <w:lvlText w:val="•"/>
      <w:lvlJc w:val="left"/>
      <w:pPr>
        <w:tabs>
          <w:tab w:val="num" w:pos="3060"/>
        </w:tabs>
        <w:ind w:left="3060" w:hanging="180"/>
      </w:pPr>
      <w:rPr>
        <w:rFonts w:ascii="Symbol" w:eastAsia="Symbol" w:hAnsi="Symbol" w:cs="Symbol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Symbol" w:eastAsia="Symbol" w:hAnsi="Symbol" w:cs="Symbol"/>
      </w:rPr>
    </w:lvl>
    <w:lvl w:ilvl="1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Symbol" w:eastAsia="Symbol" w:hAnsi="Symbol" w:cs="Symbol"/>
      </w:rPr>
    </w:lvl>
    <w:lvl w:ilvl="2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Symbol" w:eastAsia="Symbol" w:hAnsi="Symbol" w:cs="Symbol"/>
      </w:rPr>
    </w:lvl>
    <w:lvl w:ilvl="3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Symbol" w:eastAsia="Symbol" w:hAnsi="Symbol" w:cs="Symbol"/>
      </w:rPr>
    </w:lvl>
    <w:lvl w:ilvl="4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Symbol" w:eastAsia="Symbol" w:hAnsi="Symbol" w:cs="Symbol"/>
      </w:rPr>
    </w:lvl>
    <w:lvl w:ilvl="5">
      <w:start w:val="1"/>
      <w:numFmt w:val="bullet"/>
      <w:lvlText w:val="•"/>
      <w:lvlJc w:val="left"/>
      <w:pPr>
        <w:tabs>
          <w:tab w:val="num" w:pos="1980"/>
        </w:tabs>
        <w:ind w:left="1980" w:hanging="180"/>
      </w:pPr>
      <w:rPr>
        <w:rFonts w:ascii="Symbol" w:eastAsia="Symbol" w:hAnsi="Symbol" w:cs="Symbol"/>
      </w:rPr>
    </w:lvl>
    <w:lvl w:ilvl="6">
      <w:start w:val="1"/>
      <w:numFmt w:val="bullet"/>
      <w:lvlText w:val="•"/>
      <w:lvlJc w:val="left"/>
      <w:pPr>
        <w:tabs>
          <w:tab w:val="num" w:pos="2340"/>
        </w:tabs>
        <w:ind w:left="2340" w:hanging="180"/>
      </w:pPr>
      <w:rPr>
        <w:rFonts w:ascii="Symbol" w:eastAsia="Symbol" w:hAnsi="Symbol" w:cs="Symbol"/>
      </w:rPr>
    </w:lvl>
    <w:lvl w:ilvl="7">
      <w:start w:val="1"/>
      <w:numFmt w:val="bullet"/>
      <w:lvlText w:val="•"/>
      <w:lvlJc w:val="left"/>
      <w:pPr>
        <w:tabs>
          <w:tab w:val="num" w:pos="2700"/>
        </w:tabs>
        <w:ind w:left="2700" w:hanging="180"/>
      </w:pPr>
      <w:rPr>
        <w:rFonts w:ascii="Symbol" w:eastAsia="Symbol" w:hAnsi="Symbol" w:cs="Symbol"/>
      </w:rPr>
    </w:lvl>
    <w:lvl w:ilvl="8">
      <w:start w:val="1"/>
      <w:numFmt w:val="bullet"/>
      <w:lvlText w:val="•"/>
      <w:lvlJc w:val="left"/>
      <w:pPr>
        <w:tabs>
          <w:tab w:val="num" w:pos="3060"/>
        </w:tabs>
        <w:ind w:left="3060" w:hanging="180"/>
      </w:pPr>
      <w:rPr>
        <w:rFonts w:ascii="Symbol" w:eastAsia="Symbol" w:hAnsi="Symbol" w:cs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Calibri" w:eastAsia="Calibri" w:hAnsi="Calibri" w:cs="Calibri"/>
      <w:sz w:val="20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theme" Target="theme/theme1.xml" /><Relationship Id="rId26" Type="http://schemas.openxmlformats.org/officeDocument/2006/relationships/numbering" Target="numbering.xml" /><Relationship Id="rId27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30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