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  <w:t>UNIVERSIDADE DE PERNAMBUCO</w:t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  <w:t>RICARDO BARROS ALVES XAVIER</w:t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bookmarkStart w:id="0" w:name="valuation_de_empresas_do_setor_de_4c6d36"/>
      <w:r>
        <w:rPr>
          <w:rFonts w:eastAsia="Georgia" w:cs="Georgia"/>
          <w:b/>
          <w:sz w:val="24"/>
          <w:szCs w:val="24"/>
        </w:rPr>
        <w:t>VALUATION DE EMPRESAS DO SETOR DE GAMES NO JAPÃO</w:t>
      </w:r>
      <w:bookmarkEnd w:id="0"/>
      <w:r>
        <w:rPr>
          <w:rFonts w:eastAsia="Georgia" w:cs="Georgia"/>
          <w:b/>
          <w:sz w:val="24"/>
          <w:szCs w:val="24"/>
        </w:rPr>
        <w:t>:</w:t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  <w:t>A Complementariedade dos Métodos Relativo e Absoluto</w:t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  <w:t>Caruaru-PE</w:t>
      </w:r>
    </w:p>
    <w:p>
      <w:pPr>
        <w:pStyle w:val="Normal"/>
        <w:spacing w:lineRule="auto" w:line="288" w:before="240" w:after="120"/>
        <w:jc w:val="center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  <w:t>2025</w:t>
      </w:r>
    </w:p>
    <w:p>
      <w:pPr>
        <w:pStyle w:val="Normal"/>
        <w:spacing w:lineRule="auto" w:line="271" w:before="240" w:after="120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71" w:before="240" w:after="120"/>
        <w:jc w:val="center"/>
        <w:rPr>
          <w:rFonts w:ascii="Times New Roman" w:hAnsi="Times New Roman"/>
          <w:b/>
          <w:sz w:val="24"/>
          <w:szCs w:val="24"/>
        </w:rPr>
      </w:pPr>
      <w:bookmarkStart w:id="1" w:name="resumo"/>
      <w:r>
        <w:rPr>
          <w:b/>
          <w:sz w:val="24"/>
          <w:szCs w:val="24"/>
        </w:rPr>
        <w:t>RESUMO</w:t>
      </w:r>
      <w:bookmarkEnd w:id="1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presente trabalho propõe um estudo sobre os métodos de valuation relativo e absoluto, destacando sua complementariedade para uma avaliação mais precisa de empresas. O setor de games japonês foi escolhido como objeto de análise, utilizando duas abordagens: a avaliação relativa, por meio de múltiplos (P/L, P/B, EV/EBITDA), e a avaliação intrínseca, baseada no fluxo de caixa descontado (FCD).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Primeiramente, aplica-se a avaliação relativa para identificar a empresa mais subavaliada, que então passa pelo FCD, método que envolve a projeção de fluxos de caixa futuros e a aplicação de taxas de desconto para calcular seu valor presente. A pesquisa utiliza indicadores financeiros e variáveis econômicas para validar os resultados, apontando desajustes na precificação de mercado.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estudo reforça a importância da combinação desses métodos para uma análise mais robusta, auxiliando investidores e analistas na tomada de decisão. Como resultado da aplicação dos métodos, identificou-se que a SEGA SAMMY estava sendo negociada com um desconto significativo de aproximadamente 52,38%, apresentando grande potencial de valorização.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Palavras-chave:</w:t>
      </w:r>
      <w:r>
        <w:rPr>
          <w:rFonts w:eastAsia="Georgia" w:cs="Georgia"/>
          <w:sz w:val="24"/>
          <w:szCs w:val="24"/>
        </w:rPr>
        <w:t xml:space="preserve"> Valuation; Fluxo de Caixa Descontado; Avaliação Relativa; Setor de Games; Complementariedade de Métodos.</w:t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937_1025558498">
            <w:r>
              <w:rPr>
                <w:rStyle w:val="Vnculodendice"/>
              </w:rPr>
              <w:t>1. INTRODUÇÃO</w:t>
              <w:tab/>
              <w:t>5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2949_1025558498">
            <w:r>
              <w:rPr>
                <w:rStyle w:val="Vnculodendice"/>
              </w:rPr>
              <w:t>2. REFERENCIAL TEÓRICO</w:t>
              <w:tab/>
              <w:t>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51_1025558498">
            <w:r>
              <w:rPr>
                <w:rStyle w:val="Vnculodendice"/>
              </w:rPr>
              <w:t>2.1 VALUATION</w:t>
              <w:tab/>
              <w:t>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53_1025558498">
            <w:r>
              <w:rPr>
                <w:rStyle w:val="Vnculodendice"/>
              </w:rPr>
              <w:t>2.2 VALUATION RELATIVA</w:t>
              <w:tab/>
              <w:t>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80_1025558498">
            <w:r>
              <w:rPr>
                <w:rStyle w:val="Vnculodendice"/>
              </w:rPr>
              <w:t>2.3 VALUATION ABSOLUTA - FLUXO DE CAIXA DESCONTADO (FCD)</w:t>
              <w:tab/>
              <w:t>6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2982_1025558498">
            <w:r>
              <w:rPr>
                <w:rStyle w:val="Vnculodendice"/>
              </w:rPr>
              <w:t>2.3.1 Componentes do FCD</w:t>
              <w:tab/>
              <w:t>6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2984_1025558498">
            <w:r>
              <w:rPr>
                <w:rStyle w:val="Vnculodendice"/>
              </w:rPr>
              <w:t>2.3.2 O Custo de Capital Próprio (CAPM)</w:t>
              <w:tab/>
              <w:t>6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2986_1025558498">
            <w:r>
              <w:rPr>
                <w:rStyle w:val="Vnculodendice"/>
              </w:rPr>
              <w:t>2.3.3 O Custo Médio Ponderado do Capital (WACC)</w:t>
              <w:tab/>
              <w:t>7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2988_1025558498">
            <w:r>
              <w:rPr>
                <w:rStyle w:val="Vnculodendice"/>
              </w:rPr>
              <w:t>3. METODOLOGIA</w:t>
              <w:tab/>
              <w:t>7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90_1025558498">
            <w:r>
              <w:rPr>
                <w:rStyle w:val="Vnculodendice"/>
              </w:rPr>
              <w:t>3.1 AMOSTRA E DADOS</w:t>
              <w:tab/>
              <w:t>7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2992_1025558498">
            <w:r>
              <w:rPr>
                <w:rStyle w:val="Vnculodendice"/>
              </w:rPr>
              <w:t>4. APRESENTAÇÃO E ANÁLISE DE RESULTADOS</w:t>
              <w:tab/>
              <w:t>8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94_1025558498">
            <w:r>
              <w:rPr>
                <w:rStyle w:val="Vnculodendice"/>
              </w:rPr>
              <w:t>4.1 VALUATION RELATIVA</w:t>
              <w:tab/>
              <w:t>8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96_1025558498">
            <w:r>
              <w:rPr>
                <w:rStyle w:val="Vnculodendice"/>
              </w:rPr>
              <w:t>4.2 ANÁLISE DE CRESCIMENTO HISTÓRICO</w:t>
              <w:tab/>
              <w:t>8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2998_1025558498">
            <w:r>
              <w:rPr>
                <w:rStyle w:val="Vnculodendice"/>
              </w:rPr>
              <w:t>4.3 VALUATION ABSOLUTA - SEGA SAMMY</w:t>
              <w:tab/>
              <w:t>9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00_1025558498">
            <w:r>
              <w:rPr>
                <w:rStyle w:val="Vnculodendice"/>
              </w:rPr>
              <w:t>4.3.1 Histórico de Fluxos de Caixa</w:t>
              <w:tab/>
              <w:t>9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02_1025558498">
            <w:r>
              <w:rPr>
                <w:rStyle w:val="Vnculodendice"/>
              </w:rPr>
              <w:t>4.3.2 Estrutura de Capital</w:t>
              <w:tab/>
              <w:t>9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04_1025558498">
            <w:r>
              <w:rPr>
                <w:rStyle w:val="Vnculodendice"/>
              </w:rPr>
              <w:t>4.3.3 Custo de Capital (WACC)</w:t>
              <w:tab/>
              <w:t>9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06_1025558498">
            <w:r>
              <w:rPr>
                <w:rStyle w:val="Vnculodendice"/>
              </w:rPr>
              <w:t>4.3.4 Projeção de Fluxos de Caixa (2025-2029)</w:t>
              <w:tab/>
              <w:t>10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08_1025558498">
            <w:r>
              <w:rPr>
                <w:rStyle w:val="Vnculodendice"/>
              </w:rPr>
              <w:t>4.3.5 Cálculo do Valor Terminal</w:t>
              <w:tab/>
              <w:t>11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10_1025558498">
            <w:r>
              <w:rPr>
                <w:rStyle w:val="Vnculodendice"/>
              </w:rPr>
              <w:t>4.3.6 Valuation Final - DCF</w:t>
              <w:tab/>
              <w:t>12</w:t>
            </w:r>
          </w:hyperlink>
        </w:p>
        <w:p>
          <w:pPr>
            <w:pStyle w:val="TOC3"/>
            <w:tabs>
              <w:tab w:val="clear" w:pos="8123"/>
              <w:tab w:val="right" w:pos="8689" w:leader="dot"/>
            </w:tabs>
            <w:rPr/>
          </w:pPr>
          <w:hyperlink w:anchor="__RefHeading___Toc3012_1025558498">
            <w:r>
              <w:rPr>
                <w:rStyle w:val="Vnculodendice"/>
              </w:rPr>
              <w:t>4.3.7 Análise de Valuation - Recomendação</w:t>
              <w:tab/>
              <w:t>12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14_1025558498">
            <w:r>
              <w:rPr>
                <w:rStyle w:val="Vnculodendice"/>
              </w:rPr>
              <w:t>4.4 ANÁLISE DE SENSIBILIDADE</w:t>
              <w:tab/>
              <w:t>13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3016_1025558498">
            <w:r>
              <w:rPr>
                <w:rStyle w:val="Vnculodendice"/>
              </w:rPr>
              <w:t>5. RESULTADOS CONSOLIDADOS</w:t>
              <w:tab/>
              <w:t>13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18_1025558498">
            <w:r>
              <w:rPr>
                <w:rStyle w:val="Vnculodendice"/>
              </w:rPr>
              <w:t>5.1 Síntese da Valuation Relativa</w:t>
              <w:tab/>
              <w:t>13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20_1025558498">
            <w:r>
              <w:rPr>
                <w:rStyle w:val="Vnculodendice"/>
              </w:rPr>
              <w:t>5.2 Síntese da Valuation Absoluta</w:t>
              <w:tab/>
              <w:t>14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22_1025558498">
            <w:r>
              <w:rPr>
                <w:rStyle w:val="Vnculodendice"/>
              </w:rPr>
              <w:t>5.3 Recomendação de Investimento</w:t>
              <w:tab/>
              <w:t>14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3024_1025558498">
            <w:r>
              <w:rPr>
                <w:rStyle w:val="Vnculodendice"/>
              </w:rPr>
              <w:t>6. COMPLEMENTARIEDADE DOS MÉTODOS</w:t>
              <w:tab/>
              <w:t>14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26_1025558498">
            <w:r>
              <w:rPr>
                <w:rStyle w:val="Vnculodendice"/>
              </w:rPr>
              <w:t>6.1 Força da Valuation Relativa</w:t>
              <w:tab/>
              <w:t>14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28_1025558498">
            <w:r>
              <w:rPr>
                <w:rStyle w:val="Vnculodendice"/>
              </w:rPr>
              <w:t>6.2 Força da Valuation Absoluta</w:t>
              <w:tab/>
              <w:t>15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30_1025558498">
            <w:r>
              <w:rPr>
                <w:rStyle w:val="Vnculodendice"/>
              </w:rPr>
              <w:t>6.3 Uso Complementar</w:t>
              <w:tab/>
              <w:t>15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3032_1025558498">
            <w:r>
              <w:rPr>
                <w:rStyle w:val="Vnculodendice"/>
              </w:rPr>
              <w:t>7. ANÁLISE CRÍTICA E LIMITAÇÕES</w:t>
              <w:tab/>
              <w:t>15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34_1025558498">
            <w:r>
              <w:rPr>
                <w:rStyle w:val="Vnculodendice"/>
              </w:rPr>
              <w:t>7.1 Limitações da Análise</w:t>
              <w:tab/>
              <w:t>15</w:t>
            </w:r>
          </w:hyperlink>
        </w:p>
        <w:p>
          <w:pPr>
            <w:pStyle w:val="TOC2"/>
            <w:tabs>
              <w:tab w:val="clear" w:pos="8407"/>
              <w:tab w:val="right" w:pos="8689" w:leader="dot"/>
            </w:tabs>
            <w:rPr/>
          </w:pPr>
          <w:hyperlink w:anchor="__RefHeading___Toc3036_1025558498">
            <w:r>
              <w:rPr>
                <w:rStyle w:val="Vnculodendice"/>
              </w:rPr>
              <w:t>7.2 Recomendações para Pesquisas Futuras</w:t>
              <w:tab/>
              <w:t>16</w:t>
            </w:r>
          </w:hyperlink>
        </w:p>
        <w:p>
          <w:pPr>
            <w:pStyle w:val="TOC1"/>
            <w:tabs>
              <w:tab w:val="clear" w:pos="8690"/>
              <w:tab w:val="right" w:pos="8689" w:leader="dot"/>
            </w:tabs>
            <w:rPr/>
          </w:pPr>
          <w:hyperlink w:anchor="__RefHeading___Toc3038_1025558498">
            <w:r>
              <w:rPr>
                <w:rStyle w:val="Vnculodendice"/>
              </w:rPr>
              <w:t>8. CONSIDERAÇÕES FINAIS</w:t>
              <w:tab/>
              <w:t>16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Normal"/>
        <w:spacing w:lineRule="auto" w:line="271" w:before="240" w:after="120"/>
        <w:rPr>
          <w:rFonts w:ascii="Times New Roman" w:hAnsi="Times New Roman" w:eastAsia="Georgia" w:cs="Georgia"/>
          <w:b/>
          <w:sz w:val="24"/>
          <w:szCs w:val="24"/>
        </w:rPr>
      </w:pPr>
      <w:r>
        <w:rPr>
          <w:rFonts w:eastAsia="Georgia" w:cs="Georgia"/>
          <w:b/>
          <w:sz w:val="24"/>
          <w:szCs w:val="24"/>
        </w:rPr>
      </w:r>
    </w:p>
    <w:p>
      <w:pPr>
        <w:pStyle w:val="Heading1"/>
        <w:numPr>
          <w:ilvl w:val="0"/>
          <w:numId w:val="0"/>
        </w:numPr>
        <w:spacing w:lineRule="auto" w:line="240"/>
        <w:ind w:hanging="0" w:left="0"/>
        <w:rPr/>
      </w:pPr>
      <w:bookmarkStart w:id="2" w:name="__RefHeading___Toc2937_1025558498"/>
      <w:bookmarkStart w:id="3" w:name="bm_1_introdução"/>
      <w:bookmarkEnd w:id="2"/>
      <w:r>
        <w:rPr/>
        <w:t>1. INTRODUÇÃO</w:t>
      </w:r>
      <w:bookmarkEnd w:id="3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mercado de games global tem apresentado crescimento robusto nos últimos anos, com o Japão consolidando sua posição como um dos principais polos de desenvolvimento de jogos e entretenimento digital. Empresas como SEGA SAMMY, Nintendo e Capcom têm liderado a indústria com títulos inovadores e estratégias de monetização sofisticadas.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Neste contexto, a análise financeira dessas empresas torna-se fundamental para investidores e analistas que buscam tomar decisões informadas sobre aplicação de capital. O presente trabalho aplica duas metodologias consolidadas na literatura financeira—valuation relativa e valuation absoluta—para avaliar as empresas SEGA SAMMY (6460.T), Nintendo (7974.T) e Capcom (9697.T).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A questão central desta pesquisa é: </w:t>
      </w:r>
      <w:r>
        <w:rPr>
          <w:b/>
          <w:sz w:val="24"/>
          <w:szCs w:val="24"/>
        </w:rPr>
        <w:t>é possível utilizar os métodos relativo e absoluto de maneira complementar no processo de análise, otimizando o processo de tomada de decisão de investimento?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Com base neste problema central, o objetivo principal é aplicar as distintas metodologias de valuation para selecionar e avaliar empresas, demonstrando a possibilidade de utilizar tanto os múltiplos de preço-lucro quanto o Fluxo de Caixa Descontado de forma integrada, oferecendo uma abordagem estruturada e prática para facilitar o processo de tomada de decisão no mercado financeiro.</w:t>
      </w:r>
    </w:p>
    <w:p>
      <w:pPr>
        <w:pStyle w:val="Heading1"/>
        <w:numPr>
          <w:ilvl w:val="0"/>
          <w:numId w:val="0"/>
        </w:numPr>
        <w:spacing w:lineRule="auto" w:line="240"/>
        <w:ind w:hanging="0" w:left="0"/>
        <w:rPr/>
      </w:pPr>
      <w:bookmarkStart w:id="4" w:name="__RefHeading___Toc2949_1025558498"/>
      <w:bookmarkStart w:id="5" w:name="bm_2_referencial_teórico"/>
      <w:bookmarkEnd w:id="4"/>
      <w:r>
        <w:rPr/>
        <w:t>2. REFERENCIAL TEÓRICO</w:t>
      </w:r>
      <w:bookmarkEnd w:id="5"/>
    </w:p>
    <w:p>
      <w:pPr>
        <w:pStyle w:val="Heading2"/>
        <w:spacing w:lineRule="auto" w:line="240"/>
        <w:ind w:hanging="0" w:left="0"/>
        <w:rPr/>
      </w:pPr>
      <w:bookmarkStart w:id="6" w:name="__RefHeading___Toc2951_1025558498"/>
      <w:bookmarkStart w:id="7" w:name="bm_2_1_valuation"/>
      <w:bookmarkEnd w:id="6"/>
      <w:r>
        <w:rPr/>
        <w:t>2.1 VALUATION</w:t>
      </w:r>
      <w:bookmarkEnd w:id="7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 avaliação de empresas é uma prática comum dentro das finanças, pois desempenha um papel fundamental para investidores, analistas, gestores e empresas. Popularmente designada pela palavra de origem inglesa "valuation", os mecanismos de valoração não se limitam a indicar o valor de uma ação para compra ou venda, mas também avaliam ativos em geral, sejam investimentos produtivos, fusões ou aquisições.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De acordo com Damodaran (2012), existem duas abordagens principais de valuation: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Valuation Relativa</w:t>
      </w:r>
      <w:r>
        <w:rPr>
          <w:rFonts w:eastAsia="Georgia" w:cs="Georgia"/>
          <w:sz w:val="24"/>
          <w:szCs w:val="24"/>
        </w:rPr>
        <w:t>: onde o valor do ativo é definido com base nos preços de ativos semelhantes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Valuation Intrínseca</w:t>
      </w:r>
      <w:r>
        <w:rPr>
          <w:sz w:val="24"/>
          <w:szCs w:val="24"/>
        </w:rPr>
        <w:t>: que se baseia na capacidade de gerar fluxos de caixa ao longo do tempo</w:t>
      </w:r>
    </w:p>
    <w:p>
      <w:pPr>
        <w:pStyle w:val="Heading2"/>
        <w:spacing w:lineRule="auto" w:line="240"/>
        <w:ind w:hanging="0" w:left="0"/>
        <w:rPr/>
      </w:pPr>
      <w:bookmarkStart w:id="8" w:name="__RefHeading___Toc2953_1025558498"/>
      <w:bookmarkStart w:id="9" w:name="bm_2_2_valuation_relativa"/>
      <w:bookmarkEnd w:id="8"/>
      <w:r>
        <w:rPr/>
        <w:t>2.2 VALUATION RELATIVA</w:t>
      </w:r>
      <w:bookmarkEnd w:id="9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valuation relativo ou avaliação por múltiplos é uma técnica de avaliação baseada na comparação de ativos. Sua praticidade e intuitividade destacam este método como um dos mais populares entre analistas.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Principais Múltiplos Utilizados:</w:t>
      </w:r>
    </w:p>
    <w:p>
      <w:pPr>
        <w:pStyle w:val="Normal"/>
        <w:numPr>
          <w:ilvl w:val="0"/>
          <w:numId w:val="3"/>
        </w:numPr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P/L (Preço/Lucro)</w:t>
      </w:r>
      <w:r>
        <w:rPr>
          <w:rFonts w:eastAsia="Georgia" w:cs="Georgia"/>
          <w:sz w:val="24"/>
          <w:szCs w:val="24"/>
        </w:rPr>
        <w:t>: Razão entre o valor de mercado da ação e o lucro por ação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Fórmula: P/L = Preço da Ação / Lucro por Ação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Interpretação: Quanto menor o P/L, mais descontada a empresa</w:t>
      </w:r>
    </w:p>
    <w:p>
      <w:pPr>
        <w:pStyle w:val="Normal"/>
        <w:numPr>
          <w:ilvl w:val="0"/>
          <w:numId w:val="3"/>
        </w:numPr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P/B (Preço/Patrimônio)</w:t>
      </w:r>
      <w:r>
        <w:rPr>
          <w:rFonts w:eastAsia="Georgia" w:cs="Georgia"/>
          <w:sz w:val="24"/>
          <w:szCs w:val="24"/>
        </w:rPr>
        <w:t>: Razão entre valor de mercado e patrimônio líquido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Fórmula: P/B = Market Cap / Total Equity</w:t>
      </w:r>
    </w:p>
    <w:p>
      <w:pPr>
        <w:pStyle w:val="Normal"/>
        <w:numPr>
          <w:ilvl w:val="0"/>
          <w:numId w:val="3"/>
        </w:numPr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EV/EBITDA</w:t>
      </w:r>
      <w:r>
        <w:rPr>
          <w:sz w:val="24"/>
          <w:szCs w:val="24"/>
        </w:rPr>
        <w:t>: Valor da empresa dividido por EBITDA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Fórmula: EV/EBITDA = (Market Cap + Net Debt) / EBITDA</w:t>
      </w:r>
    </w:p>
    <w:p>
      <w:pPr>
        <w:pStyle w:val="Heading2"/>
        <w:spacing w:lineRule="auto" w:line="240"/>
        <w:ind w:hanging="0" w:left="0"/>
        <w:jc w:val="both"/>
        <w:rPr/>
      </w:pPr>
      <w:bookmarkStart w:id="10" w:name="__RefHeading___Toc2980_1025558498"/>
      <w:bookmarkStart w:id="11" w:name="bm_2_3_valuation_absoluta_fluxo_d_e6fca6"/>
      <w:bookmarkEnd w:id="10"/>
      <w:r>
        <w:rPr/>
        <w:t>2.3 VALUATION ABSOLUTA - FLUXO DE CAIXA DESCONTADO (FCD)</w:t>
      </w:r>
      <w:bookmarkEnd w:id="11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Fluxo de Caixa Descontado é considerado na literatura como a abordagem mais completa para precificação de ativos. De acordo com Neto (2021), o valor econômico de uma empresa é determinado projetando-se o fluxo de caixa disponível por um período indeterminado, e calculando seu valor presente descontando esses fluxos por uma taxa de oportunidade apropriada.</w:t>
      </w:r>
    </w:p>
    <w:p>
      <w:pPr>
        <w:pStyle w:val="Heading3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12" w:name="__RefHeading___Toc2982_1025558498"/>
      <w:bookmarkStart w:id="13" w:name="bm_2_3_1_componentes_do_fcd"/>
      <w:bookmarkEnd w:id="12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2.3.1 Componentes do FCD</w:t>
      </w:r>
      <w:bookmarkEnd w:id="13"/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Fluxo de Caixa Livre para a Firma (FCFF):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Lucro Operacional Líquido de IR (NOPAT)</w:t>
        <w:br/>
        <w:t>(+) Despesas não desembolsáveis (D&amp;A)</w:t>
        <w:br/>
        <w:t>(-) Investimentos em Capital Fixo (CAPEX)</w:t>
        <w:br/>
        <w:t>(-) Variações do Capital de Giro</w:t>
        <w:br/>
        <w:t>(=) Fluxo de Caixa Livre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Onde:</w:t>
      </w:r>
    </w:p>
    <w:p>
      <w:pPr>
        <w:pStyle w:val="Normal"/>
        <w:widowControl/>
        <w:numPr>
          <w:ilvl w:val="0"/>
          <w:numId w:val="4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NOPAT = Lucro Operacional × (1 - Taxa de IR)</w:t>
      </w:r>
    </w:p>
    <w:p>
      <w:pPr>
        <w:pStyle w:val="Normal"/>
        <w:widowControl/>
        <w:numPr>
          <w:ilvl w:val="0"/>
          <w:numId w:val="4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D&amp;A = Depreciação e Amortização</w:t>
      </w:r>
    </w:p>
    <w:p>
      <w:pPr>
        <w:pStyle w:val="Normal"/>
        <w:widowControl/>
        <w:numPr>
          <w:ilvl w:val="0"/>
          <w:numId w:val="4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CAPEX = Capital Expenditure</w:t>
      </w:r>
    </w:p>
    <w:p>
      <w:pPr>
        <w:pStyle w:val="Heading3"/>
        <w:widowControl/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14" w:name="__RefHeading___Toc2984_1025558498"/>
      <w:bookmarkStart w:id="15" w:name="bm_2_3_2_o_custo_de_capital_próprio_capm"/>
      <w:bookmarkEnd w:id="14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2.3.2 O Custo de Capital Próprio (CAPM)</w:t>
      </w:r>
      <w:bookmarkEnd w:id="15"/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Fórmula:</w:t>
        <w:br/>
        <w:t>Ke = Rf + β(Rm - Rf)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Onde: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Ke = Custo do Capital Próprio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Rf = Taxa de Juros Livre de Risco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Rm = Retorno da Carteira de Mercado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β = Coeficiente Beta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(Rm - Rf) = Prêmio de Risco de Mercado</w:t>
      </w:r>
    </w:p>
    <w:p>
      <w:pPr>
        <w:pStyle w:val="Heading3"/>
        <w:widowControl/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16" w:name="__RefHeading___Toc2986_1025558498"/>
      <w:bookmarkStart w:id="17" w:name="bm_2_3_3_o_custo_médio_ponderado_e5007a"/>
      <w:bookmarkEnd w:id="16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2.3.3 O Custo Médio Ponderado do Capital (WACC)</w:t>
      </w:r>
      <w:bookmarkEnd w:id="17"/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Fórmula:</w:t>
        <w:br/>
        <w:t>WACC = Ke × (We/(Wd+We)) + Kd(1-IR) × (Wd/(Wd+We))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Onde:</w:t>
      </w:r>
    </w:p>
    <w:p>
      <w:pPr>
        <w:pStyle w:val="Normal"/>
        <w:widowControl/>
        <w:numPr>
          <w:ilvl w:val="0"/>
          <w:numId w:val="6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Ke = Custo do capital próprio</w:t>
      </w:r>
    </w:p>
    <w:p>
      <w:pPr>
        <w:pStyle w:val="Normal"/>
        <w:widowControl/>
        <w:numPr>
          <w:ilvl w:val="0"/>
          <w:numId w:val="6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Kd = Custo do capital de terceiros</w:t>
      </w:r>
    </w:p>
    <w:p>
      <w:pPr>
        <w:pStyle w:val="Normal"/>
        <w:widowControl/>
        <w:numPr>
          <w:ilvl w:val="0"/>
          <w:numId w:val="6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We = Valor de Mercado do Patrimônio Líquido</w:t>
      </w:r>
    </w:p>
    <w:p>
      <w:pPr>
        <w:pStyle w:val="Normal"/>
        <w:widowControl/>
        <w:numPr>
          <w:ilvl w:val="0"/>
          <w:numId w:val="6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Wd = Valor de Mercado do Passivo</w:t>
      </w:r>
    </w:p>
    <w:p>
      <w:pPr>
        <w:pStyle w:val="Normal"/>
        <w:widowControl/>
        <w:numPr>
          <w:ilvl w:val="0"/>
          <w:numId w:val="6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IR = Alíquota do Imposto de Renda</w:t>
      </w:r>
    </w:p>
    <w:p>
      <w:pPr>
        <w:pStyle w:val="Heading1"/>
        <w:widowControl/>
        <w:numPr>
          <w:ilvl w:val="0"/>
          <w:numId w:val="0"/>
        </w:numPr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18" w:name="__RefHeading___Toc2988_1025558498"/>
      <w:bookmarkStart w:id="19" w:name="bm_3_metodologia"/>
      <w:bookmarkEnd w:id="18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3. METODOLOGIA</w:t>
      </w:r>
      <w:bookmarkEnd w:id="19"/>
    </w:p>
    <w:p>
      <w:pPr>
        <w:pStyle w:val="Heading2"/>
        <w:widowControl/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20" w:name="__RefHeading___Toc2990_1025558498"/>
      <w:bookmarkStart w:id="21" w:name="bm_3_1_amostra_e_dados"/>
      <w:bookmarkEnd w:id="20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3.1 AMOSTRA E DADOS</w:t>
      </w:r>
      <w:bookmarkEnd w:id="21"/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 estudo analisa três empresas líderes do setor de games japonês: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SEGA SAMMY Holdings Inc. (6460.T)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Fornecedora de máquinas de arcade, pachinko e entretenimento digital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Detém IPs conhecidas como Sonic e Total War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Nintendo Co., Ltd. (7974.T)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Maior empresa de videogames do mundo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Criadora de franquias globais (Super Mario, The Legend of Zelda, Pokémon)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Capcom Co., Ltd. (9697.T)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Desenvolvedora e distribuidora de videogames</w:t>
      </w:r>
    </w:p>
    <w:p>
      <w:pPr>
        <w:pStyle w:val="Normal"/>
        <w:widowControl/>
        <w:numPr>
          <w:ilvl w:val="1"/>
          <w:numId w:val="7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Criadora de franquias como Resident Evil, Monster Hunter, Street Fighter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Período de Análise: 2022-2024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Fonte de Dados:</w:t>
      </w:r>
    </w:p>
    <w:p>
      <w:pPr>
        <w:pStyle w:val="Normal"/>
        <w:widowControl/>
        <w:numPr>
          <w:ilvl w:val="0"/>
          <w:numId w:val="8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Demonstrações financeiras auditadas das empresas</w:t>
      </w:r>
    </w:p>
    <w:p>
      <w:pPr>
        <w:pStyle w:val="Normal"/>
        <w:widowControl/>
        <w:numPr>
          <w:ilvl w:val="0"/>
          <w:numId w:val="8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Base de dados de preços: Tokyo Stock Exchange (dezembro/2024)</w:t>
      </w:r>
    </w:p>
    <w:p>
      <w:pPr>
        <w:pStyle w:val="Normal"/>
        <w:widowControl/>
        <w:numPr>
          <w:ilvl w:val="0"/>
          <w:numId w:val="8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Parâmetros macroeconômicos: Banco do Japão, CEIC Data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Observação Metodológica Crítica sobre Premissas Macroeconômicas:</w:t>
      </w:r>
    </w:p>
    <w:p>
      <w:pPr>
        <w:pStyle w:val="Normal"/>
        <w:widowControl/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O Japão apresenta uma economia madura e estruturalmente diferente de países emergentes como o Brasil. Importantes considerações:</w:t>
      </w:r>
    </w:p>
    <w:p>
      <w:pPr>
        <w:pStyle w:val="Normal"/>
        <w:widowControl/>
        <w:numPr>
          <w:ilvl w:val="0"/>
          <w:numId w:val="9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Crescimento do PIB: O Japão apresenta crescimento real esperado de 0,5% a 1,0% ao ano segundo projeções do FMI e Banco do Japão, refletindo população envelhecida e taxas de natalidade decrescentes</w:t>
      </w:r>
    </w:p>
    <w:p>
      <w:pPr>
        <w:pStyle w:val="Normal"/>
        <w:widowControl/>
        <w:numPr>
          <w:ilvl w:val="0"/>
          <w:numId w:val="9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Taxa Livre de Risco (Rf): Mantida em 1,00% como média de 2024 para títulos do governo japonês (JGB) de 10 anos, historicamente baixa comparada a economias emergentes</w:t>
      </w:r>
    </w:p>
    <w:p>
      <w:pPr>
        <w:pStyle w:val="Normal"/>
        <w:widowControl/>
        <w:numPr>
          <w:ilvl w:val="0"/>
          <w:numId w:val="9"/>
        </w:numPr>
        <w:bidi w:val="0"/>
        <w:spacing w:lineRule="auto" w:line="24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Prêmio de Risco: Mantido conservador em 5,00%, apropriado para mercados desenvolvidos como Nikkei 225</w:t>
      </w:r>
    </w:p>
    <w:p>
      <w:pPr>
        <w:pStyle w:val="Heading1"/>
        <w:widowControl/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22" w:name="__RefHeading___Toc2992_1025558498"/>
      <w:bookmarkStart w:id="23" w:name="bm_4_apresentação_e_análise_de_re_deac5a"/>
      <w:bookmarkEnd w:id="22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4. APRESENTAÇÃO E ANÁLISE DE RESULTADOS</w:t>
      </w:r>
      <w:bookmarkEnd w:id="23"/>
    </w:p>
    <w:p>
      <w:pPr>
        <w:pStyle w:val="Heading2"/>
        <w:widowControl/>
        <w:bidi w:val="0"/>
        <w:spacing w:lineRule="auto" w:line="240"/>
        <w:ind w:hanging="0" w:left="0"/>
        <w:rPr>
          <w:rFonts w:ascii="Times New Roman" w:hAnsi="Times New Roman" w:cstheme="minorBidi" w:eastAsiaTheme="minorHAnsi" w:hAnsiTheme="minorHAnsi"/>
          <w:sz w:val="24"/>
          <w:szCs w:val="24"/>
          <w:lang w:val="pt-PT" w:eastAsia="en-US" w:bidi="ar-SA"/>
        </w:rPr>
      </w:pPr>
      <w:bookmarkStart w:id="24" w:name="__RefHeading___Toc2994_1025558498"/>
      <w:bookmarkStart w:id="25" w:name="bm_4_1_valuation_relativa"/>
      <w:bookmarkEnd w:id="24"/>
      <w:r>
        <w:rPr>
          <w:rFonts w:cstheme="minorBidi" w:eastAsiaTheme="minorHAnsi" w:hAnsiTheme="minorHAnsi"/>
          <w:sz w:val="24"/>
          <w:szCs w:val="24"/>
          <w:lang w:val="pt-PT" w:eastAsia="en-US" w:bidi="ar-SA"/>
        </w:rPr>
        <w:t>4.1 VALUATION RELATIVA</w:t>
      </w:r>
      <w:bookmarkEnd w:id="25"/>
    </w:p>
    <w:tbl>
      <w:tblPr>
        <w:tblStyle w:val="TableGrid"/>
        <w:tblW w:w="8687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41"/>
        <w:gridCol w:w="1240"/>
        <w:gridCol w:w="1242"/>
        <w:gridCol w:w="1240"/>
        <w:gridCol w:w="1242"/>
        <w:gridCol w:w="1240"/>
        <w:gridCol w:w="1241"/>
      </w:tblGrid>
      <w:tr>
        <w:trPr>
          <w:cantSplit w:val="true"/>
        </w:trPr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Empresa</w:t>
            </w:r>
          </w:p>
        </w:tc>
        <w:tc>
          <w:tcPr>
            <w:tcW w:w="1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Ticker</w:t>
            </w:r>
          </w:p>
        </w:tc>
        <w:tc>
          <w:tcPr>
            <w:tcW w:w="12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Preço (¥)</w:t>
            </w:r>
          </w:p>
        </w:tc>
        <w:tc>
          <w:tcPr>
            <w:tcW w:w="1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LPA 2024</w:t>
            </w:r>
          </w:p>
        </w:tc>
        <w:tc>
          <w:tcPr>
            <w:tcW w:w="12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P/L 2024</w:t>
            </w:r>
          </w:p>
        </w:tc>
        <w:tc>
          <w:tcPr>
            <w:tcW w:w="1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P/B 2024</w:t>
            </w:r>
          </w:p>
        </w:tc>
        <w:tc>
          <w:tcPr>
            <w:tcW w:w="12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EV/EBITDA</w:t>
            </w:r>
          </w:p>
        </w:tc>
      </w:tr>
      <w:tr>
        <w:trPr>
          <w:cantSplit w:val="true"/>
        </w:trPr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SEGA SAMMY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6460.T</w:t>
            </w:r>
          </w:p>
        </w:tc>
        <w:tc>
          <w:tcPr>
            <w:tcW w:w="124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3,076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150.75</w:t>
            </w:r>
          </w:p>
        </w:tc>
        <w:tc>
          <w:tcPr>
            <w:tcW w:w="124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20.40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1.89</w:t>
            </w:r>
          </w:p>
        </w:tc>
        <w:tc>
          <w:tcPr>
            <w:tcW w:w="1241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10.66</w:t>
            </w:r>
          </w:p>
        </w:tc>
      </w:tr>
      <w:tr>
        <w:trPr>
          <w:cantSplit w:val="true"/>
        </w:trPr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NINTENDO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7974.T</w:t>
            </w:r>
          </w:p>
        </w:tc>
        <w:tc>
          <w:tcPr>
            <w:tcW w:w="124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9,264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421.39</w:t>
            </w:r>
          </w:p>
        </w:tc>
        <w:tc>
          <w:tcPr>
            <w:tcW w:w="124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21.98</w:t>
            </w:r>
          </w:p>
        </w:tc>
        <w:tc>
          <w:tcPr>
            <w:tcW w:w="1240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4.14</w:t>
            </w:r>
          </w:p>
        </w:tc>
        <w:tc>
          <w:tcPr>
            <w:tcW w:w="1241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14.22</w:t>
            </w:r>
          </w:p>
        </w:tc>
      </w:tr>
      <w:tr>
        <w:trPr>
          <w:cantSplit w:val="true"/>
        </w:trPr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CAPCOM</w:t>
            </w:r>
          </w:p>
        </w:tc>
        <w:tc>
          <w:tcPr>
            <w:tcW w:w="124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9697.T</w:t>
            </w:r>
          </w:p>
        </w:tc>
        <w:tc>
          <w:tcPr>
            <w:tcW w:w="124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3,474</w:t>
            </w:r>
          </w:p>
        </w:tc>
        <w:tc>
          <w:tcPr>
            <w:tcW w:w="124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103.71</w:t>
            </w:r>
          </w:p>
        </w:tc>
        <w:tc>
          <w:tcPr>
            <w:tcW w:w="124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33.50</w:t>
            </w:r>
          </w:p>
        </w:tc>
        <w:tc>
          <w:tcPr>
            <w:tcW w:w="124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7.45</w:t>
            </w:r>
          </w:p>
        </w:tc>
        <w:tc>
          <w:tcPr>
            <w:tcW w:w="12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21.08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  <w:t>TABELA 1 - Múltiplos de Valuation Relativa (2024)</w:t>
      </w:r>
    </w:p>
    <w:p>
      <w:pPr>
        <w:pStyle w:val="Normal"/>
        <w:spacing w:lineRule="auto" w:line="240" w:before="0" w:after="96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 SEGA SAMMY apresenta o menor múltiplo P/L (20,40), indicando que está sendo negociada com desconto relativo às demais empresas. A SEGA SAMMY também apresenta o menor P/B (1,89), sugerindo melhor relação entre valor de mercado e patrimônio.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Conclusão da Valuation Relativa:</w:t>
      </w:r>
      <w:r>
        <w:rPr>
          <w:rFonts w:eastAsia="Georgia" w:cs="Georgia"/>
          <w:sz w:val="24"/>
          <w:szCs w:val="24"/>
        </w:rPr>
        <w:t xml:space="preserve"> SEGA SAMMY é a empresa mais subavaliada segundo múltiplos e foi selecionada para análise mais profunda via FCD.</w:t>
      </w:r>
    </w:p>
    <w:p>
      <w:pPr>
        <w:pStyle w:val="Heading2"/>
        <w:spacing w:lineRule="auto" w:line="240"/>
        <w:ind w:hanging="0" w:left="0"/>
        <w:jc w:val="both"/>
        <w:rPr/>
      </w:pPr>
      <w:bookmarkStart w:id="26" w:name="__RefHeading___Toc2996_1025558498"/>
      <w:bookmarkStart w:id="27" w:name="bm_4_2_análise_de_crescimento_histórico"/>
      <w:bookmarkEnd w:id="26"/>
      <w:r>
        <w:rPr/>
        <w:t>4.2 ANÁLISE DE CRESCIMENTO HISTÓRICO</w:t>
      </w:r>
      <w:bookmarkEnd w:id="27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 w:val="true"/>
        </w:trPr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Empresa</w:t>
            </w:r>
          </w:p>
        </w:tc>
        <w:tc>
          <w:tcPr>
            <w:tcW w:w="17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CAGR Receita</w:t>
            </w:r>
          </w:p>
        </w:tc>
        <w:tc>
          <w:tcPr>
            <w:tcW w:w="17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CAGR Lucro</w:t>
            </w:r>
          </w:p>
        </w:tc>
        <w:tc>
          <w:tcPr>
            <w:tcW w:w="17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2022 (¥B)</w:t>
            </w:r>
          </w:p>
        </w:tc>
        <w:tc>
          <w:tcPr>
            <w:tcW w:w="17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2024 (¥B)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SEGA SAMMY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20.74%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-5.52%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320.95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467.90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NINTENDO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-0.69%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1.34%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1,695.34</w:t>
            </w:r>
          </w:p>
        </w:tc>
        <w:tc>
          <w:tcPr>
            <w:tcW w:w="173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1,671.87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CAPCOM</w:t>
            </w:r>
          </w:p>
        </w:tc>
        <w:tc>
          <w:tcPr>
            <w:tcW w:w="173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17.68%</w:t>
            </w:r>
          </w:p>
        </w:tc>
        <w:tc>
          <w:tcPr>
            <w:tcW w:w="173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15.43%</w:t>
            </w:r>
          </w:p>
        </w:tc>
        <w:tc>
          <w:tcPr>
            <w:tcW w:w="173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110.05</w:t>
            </w:r>
          </w:p>
        </w:tc>
        <w:tc>
          <w:tcPr>
            <w:tcW w:w="173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152.41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TABELA 2 - Crescimento Financeiro (2022-2024)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Análise: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SEGA SAMMY:</w:t>
      </w:r>
      <w:r>
        <w:rPr>
          <w:rFonts w:eastAsia="Georgia" w:cs="Georgia"/>
          <w:sz w:val="24"/>
          <w:szCs w:val="24"/>
        </w:rPr>
        <w:t xml:space="preserve"> Crescimento de receita robusto (20,74% CAGR), porém redução de lucro líquido em -5,52% CAGR. Receita cresceu 46% enquanto lucro caiu 10,7%, indicando aumento de despesas operacionais.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NINTENDO:</w:t>
      </w:r>
      <w:r>
        <w:rPr>
          <w:rFonts w:eastAsia="Georgia" w:cs="Georgia"/>
          <w:sz w:val="24"/>
          <w:szCs w:val="24"/>
        </w:rPr>
        <w:t xml:space="preserve"> Receita relativamente estável (-0,69% CAGR). Empresa madura com margem de lucro elevada e consistente (~28%).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CAPCOM:</w:t>
      </w:r>
      <w:r>
        <w:rPr>
          <w:rFonts w:eastAsia="Georgia" w:cs="Georgia"/>
          <w:sz w:val="24"/>
          <w:szCs w:val="24"/>
        </w:rPr>
        <w:t xml:space="preserve"> Crescimento impressionante em ambas as métricas. CAGR de receita 17,68% e lucro 15,43%, com margem consistente (~29%).</w:t>
      </w:r>
    </w:p>
    <w:p>
      <w:pPr>
        <w:pStyle w:val="Heading2"/>
        <w:spacing w:lineRule="auto" w:line="240"/>
        <w:ind w:hanging="0" w:left="0"/>
        <w:jc w:val="both"/>
        <w:rPr/>
      </w:pPr>
      <w:bookmarkStart w:id="28" w:name="__RefHeading___Toc2998_1025558498"/>
      <w:bookmarkStart w:id="29" w:name="bm_4_3_valuation_absoluta_sega_sammy"/>
      <w:bookmarkEnd w:id="28"/>
      <w:r>
        <w:rPr/>
        <w:t>4.3 VALUATION ABSOLUTA - SEGA SAMMY</w:t>
      </w:r>
      <w:bookmarkEnd w:id="29"/>
    </w:p>
    <w:p>
      <w:pPr>
        <w:pStyle w:val="Heading3"/>
        <w:spacing w:lineRule="auto" w:line="240"/>
        <w:ind w:hanging="0" w:left="0"/>
        <w:jc w:val="both"/>
        <w:rPr/>
      </w:pPr>
      <w:bookmarkStart w:id="30" w:name="__RefHeading___Toc3000_1025558498"/>
      <w:bookmarkStart w:id="31" w:name="bm_4_3_1_histórico_de_fluxos_de_caixa"/>
      <w:bookmarkEnd w:id="30"/>
      <w:r>
        <w:rPr/>
        <w:t>4.3.1 Histórico de Fluxos de Caixa</w:t>
      </w:r>
      <w:bookmarkEnd w:id="31"/>
    </w:p>
    <w:tbl>
      <w:tblPr>
        <w:tblStyle w:val="TableGrid"/>
        <w:tblW w:w="8688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5"/>
      </w:tblGrid>
      <w:tr>
        <w:trPr>
          <w:cantSplit w:val="true"/>
        </w:trPr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Ano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(¥B)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Op. Income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NOPAT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D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A</w:t>
            </w:r>
          </w:p>
        </w:tc>
        <w:tc>
          <w:tcPr>
            <w:tcW w:w="10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CAPEX</w:t>
            </w:r>
          </w:p>
        </w:tc>
        <w:tc>
          <w:tcPr>
            <w:tcW w:w="10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FCF</w:t>
            </w:r>
          </w:p>
        </w:tc>
      </w:tr>
      <w:tr>
        <w:trPr>
          <w:trHeight w:val="516" w:hRule="atLeast"/>
          <w:cantSplit w:val="true"/>
        </w:trPr>
        <w:tc>
          <w:tcPr>
            <w:tcW w:w="10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2022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320.95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32.04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22.43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13.72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11.86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27.75</w:t>
            </w:r>
          </w:p>
        </w:tc>
        <w:tc>
          <w:tcPr>
            <w:tcW w:w="108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10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2023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389.64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46.79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32.75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12.85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10.82</w:t>
            </w:r>
          </w:p>
        </w:tc>
        <w:tc>
          <w:tcPr>
            <w:tcW w:w="1086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33.89</w:t>
            </w:r>
          </w:p>
        </w:tc>
        <w:tc>
          <w:tcPr>
            <w:tcW w:w="108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10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2024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467.90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57.87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40.51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16.02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11.12</w:t>
            </w:r>
          </w:p>
        </w:tc>
        <w:tc>
          <w:tcPr>
            <w:tcW w:w="10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54.72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3 - Fluxos de Caixa Históricos (2022-2024)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Fluxo de caixa livre crescente: 27,75B → 54,72B (+97% em 2 anos). Média de FCF (2022-2024): ¥38,78B.</w:t>
      </w:r>
    </w:p>
    <w:p>
      <w:pPr>
        <w:pStyle w:val="Heading3"/>
        <w:spacing w:lineRule="auto" w:line="240"/>
        <w:ind w:hanging="0" w:left="0"/>
        <w:rPr/>
      </w:pPr>
      <w:bookmarkStart w:id="32" w:name="__RefHeading___Toc3002_1025558498"/>
      <w:bookmarkStart w:id="33" w:name="bm_4_3_2_estrutura_de_capital"/>
      <w:bookmarkEnd w:id="32"/>
      <w:r>
        <w:rPr/>
        <w:t>4.3.2 Estrutura de Capital</w:t>
      </w:r>
      <w:bookmarkEnd w:id="33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Métrica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Total Debt (¥B)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161.84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Total Equity (¥B)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357.70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Total Capital (¥B)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519.54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Debt Weight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31.15%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Equity Weight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68.85%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Cost of Debt (pré-IR)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0.47%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Cost of Debt (após-IR)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0.33%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TABELA 4 - Capital Structure - SEGA SAMMY (2024)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Empresa com baixa alavancagem (D/E = 0,45) e custo de dívida extremamente baixo.</w:t>
      </w:r>
    </w:p>
    <w:p>
      <w:pPr>
        <w:pStyle w:val="Heading3"/>
        <w:spacing w:lineRule="auto" w:line="240"/>
        <w:ind w:hanging="0" w:left="0"/>
        <w:rPr/>
      </w:pPr>
      <w:bookmarkStart w:id="34" w:name="__RefHeading___Toc3004_1025558498"/>
      <w:bookmarkStart w:id="35" w:name="bm_4_3_3_custo_de_capital_wacc"/>
      <w:bookmarkEnd w:id="34"/>
      <w:r>
        <w:rPr/>
        <w:t>4.3.3 Custo de Capital (WACC)</w:t>
      </w:r>
      <w:bookmarkEnd w:id="35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Componente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Risk-Free Rate (Rf)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1.00%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Market Return (Rm)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6.00%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Beta (</w:t>
            </w:r>
            <w:r>
              <w:rPr>
                <w:kern w:val="0"/>
                <w:sz w:val="20"/>
                <w:szCs w:val="20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β</m:t>
              </m:r>
            </m:oMath>
            <w:r>
              <w:rPr>
                <w:kern w:val="0"/>
                <w:sz w:val="20"/>
                <w:szCs w:val="20"/>
              </w:rPr>
              <w:t>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1.20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Market Risk Premium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5.00%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Cost of Equity (Ke)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7.00%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Cost of Debt (após-IR)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0.33%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WACC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4.92%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5 - Cálculo do WACC - SEGA SAMMY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 do CAPM: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Ke = Rf + β(Rm - Rf)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Ke = 1,00% + 1,20 × (6,00% - 1,00%)</w:t>
      </w:r>
      <w:r>
        <w:rPr>
          <w:sz w:val="24"/>
          <w:szCs w:val="24"/>
        </w:rPr>
        <w:br/>
        <w:t>Ke = 1,00% + 6,00% = 7,00%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 do WACC: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WACC = (We × Ke) + (Wd × Kd × (1 - IR))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WACC = (68,85% × 7,00%) + (31,15% × 0,47% × 0,70)</w:t>
      </w:r>
      <w:r>
        <w:rPr>
          <w:sz w:val="24"/>
          <w:szCs w:val="24"/>
        </w:rPr>
        <w:br/>
        <w:t>WACC = 4,82% + 0,10% = 4,92%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Justificativa das Premissas para Contexto Econômico Japonês: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 WACC de 4,92% reflete adequadamente o custo de capital em uma economia desenvolvida como a japonesa. Para comparação: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Economia japonesa tem taxas de juros estruturalmente baixas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Prêmio de risco de 5% é apropriado para mercado desenvolvido (não emergente)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Beta de 1,20 reflete volatilidade moderada do setor de games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Este WACC é </w:t>
      </w:r>
      <w:r>
        <w:rPr>
          <w:b/>
          <w:sz w:val="24"/>
          <w:szCs w:val="24"/>
        </w:rPr>
        <w:t>substancialmente inferior</w:t>
      </w:r>
      <w:r>
        <w:rPr>
          <w:rFonts w:eastAsia="Georgia" w:cs="Georgia"/>
          <w:sz w:val="24"/>
          <w:szCs w:val="24"/>
        </w:rPr>
        <w:t xml:space="preserve"> ao de empresas brasileiras (típico 10-12%), refletindo a realidade macroeconômica do Japão</w:t>
      </w:r>
    </w:p>
    <w:p>
      <w:pPr>
        <w:pStyle w:val="Heading3"/>
        <w:spacing w:lineRule="auto" w:line="240"/>
        <w:ind w:hanging="0" w:left="0"/>
        <w:jc w:val="both"/>
        <w:rPr/>
      </w:pPr>
      <w:bookmarkStart w:id="36" w:name="__RefHeading___Toc3006_1025558498"/>
      <w:bookmarkStart w:id="37" w:name="bm_4_3_4_projeção_de_fluxos_de_ca_90f965"/>
      <w:bookmarkEnd w:id="36"/>
      <w:r>
        <w:rPr/>
        <w:t>4.3.4 Projeção de Fluxos de Caixa (2025-2029)</w:t>
      </w:r>
      <w:bookmarkEnd w:id="37"/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Premissas:</w:t>
      </w:r>
    </w:p>
    <w:p>
      <w:pPr>
        <w:pStyle w:val="Normal"/>
        <w:numPr>
          <w:ilvl w:val="0"/>
          <w:numId w:val="11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Taxa de crescimento do FCF: 8% a.a. durante período explícito</w:t>
      </w:r>
    </w:p>
    <w:p>
      <w:pPr>
        <w:pStyle w:val="Normal"/>
        <w:numPr>
          <w:ilvl w:val="0"/>
          <w:numId w:val="11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Período de projeção: 5 anos</w:t>
      </w:r>
    </w:p>
    <w:p>
      <w:pPr>
        <w:pStyle w:val="Normal"/>
        <w:numPr>
          <w:ilvl w:val="0"/>
          <w:numId w:val="11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FCF base: Média 2022-2024 = ¥38,78B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Ano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FCF Projetado (¥B)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Fator de Desconto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Valor Presente (¥B)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2025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41.89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0.9531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39.92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45.24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0.9084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41.09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2027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48.86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0.8658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42.30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2028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52.76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0.8251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43.54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2029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56.98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0.7864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44.81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211.66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6 - Projeção de Fluxos de Caixa (2025-2029)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 para 2025: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FCF(2025) = 38.78B × (1,08)^1 = 41.89B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DF(2025) = 1 / (1,0492)^1 = 0.9531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PV(2025) = 41.89B × 0.9531 = 39.92B</w:t>
      </w:r>
    </w:p>
    <w:p>
      <w:pPr>
        <w:pStyle w:val="Heading3"/>
        <w:spacing w:lineRule="auto" w:line="240"/>
        <w:ind w:hanging="0" w:left="0"/>
        <w:rPr/>
      </w:pPr>
      <w:bookmarkStart w:id="38" w:name="__RefHeading___Toc3008_1025558498"/>
      <w:bookmarkStart w:id="39" w:name="bm_4_3_5_cálculo_do_valor_termina_a6f053"/>
      <w:bookmarkEnd w:id="38"/>
      <w:r>
        <w:rPr/>
        <w:t>4.3.5 Cálculo do Valor Terminal</w:t>
      </w:r>
      <w:bookmarkEnd w:id="39"/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Premissas Revisadas e Justificadas: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Taxa de crescimento perpétuo (g): </w:t>
      </w:r>
      <w:r>
        <w:rPr>
          <w:b/>
          <w:sz w:val="24"/>
          <w:szCs w:val="24"/>
        </w:rPr>
        <w:t>1.00%</w:t>
      </w:r>
      <w:r>
        <w:rPr>
          <w:sz w:val="24"/>
          <w:szCs w:val="24"/>
        </w:rPr>
        <w:t xml:space="preserve"> (CORRIGIDO de 2.5%)</w:t>
      </w:r>
    </w:p>
    <w:p>
      <w:pPr>
        <w:pStyle w:val="Normal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Justificativa: O Japão é economia madura com crescimento esperado de 0,5%-1,0% ao ano segundo FMI e Banco do Japão. Usar 1,0% é conservador e apropriado, reconhecendo que SEGA SAMMY, por mais produtiva, não pode crescer indefinidamente mais rápido que toda economia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Fórmula: VT = FCF(n+1) / (WACC - g)</w:t>
      </w:r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Componente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FCF ano 2029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¥56.98B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Taxa de crescimento (g)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1.00%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FCF ano 2030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¥57.55B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WACC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4.92%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(WACC - g)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3.92%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 Terminal (2029)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¥1,468.11B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Fator de Desconto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0.7864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PV Valor Terminal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¥1,154.69B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TABELA 7 - Valor Terminal (CORRIGIDO)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Cálculo:</w:t>
      </w:r>
      <w:r>
        <w:rPr>
          <w:sz w:val="24"/>
          <w:szCs w:val="24"/>
        </w:rPr>
        <w:br/>
        <w:t>TV = FCF(2030) / (WACC - g)</w:t>
        <w:br/>
        <w:t>TV = 57.55B / (0.0492 - 0.010) = 1,468.11B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PV(TV) = 1,468.11B / (1.0492)^5 = 1,154.69B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Validação:</w:t>
      </w:r>
      <w:r>
        <w:rPr>
          <w:rFonts w:eastAsia="Georgia" w:cs="Georgia"/>
          <w:sz w:val="24"/>
          <w:szCs w:val="24"/>
        </w:rPr>
        <w:t xml:space="preserve"> g = 1,0% &lt; WACC = 4,92% ✓ (Condição necessária é satisfeita)</w:t>
      </w:r>
    </w:p>
    <w:p>
      <w:pPr>
        <w:pStyle w:val="Heading3"/>
        <w:spacing w:lineRule="auto" w:line="240"/>
        <w:ind w:hanging="0" w:left="0"/>
        <w:rPr/>
      </w:pPr>
      <w:bookmarkStart w:id="40" w:name="__RefHeading___Toc3010_1025558498"/>
      <w:bookmarkStart w:id="41" w:name="bm_4_3_6_valuation_final_dcf"/>
      <w:bookmarkEnd w:id="40"/>
      <w:r>
        <w:rPr/>
        <w:t>4.3.6 Valuation Final - DCF</w:t>
      </w:r>
      <w:bookmarkEnd w:id="41"/>
    </w:p>
    <w:tbl>
      <w:tblPr>
        <w:tblStyle w:val="TableGrid"/>
        <w:tblW w:w="8691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 w:val="true"/>
        </w:trPr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Componente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Valor (¥B)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% do Total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Valor Explícito (2025-2029)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211.66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15.51%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 Terminal (Perpetuidade)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1,154.69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84.49%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Enterprise Value (EV)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1,366.35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100.00%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(-) Total Debt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(161.84)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(+) Cash &amp; Equivalents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211.72</w:t>
            </w:r>
          </w:p>
        </w:tc>
        <w:tc>
          <w:tcPr>
            <w:tcW w:w="289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(-) Net Debt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(49.87)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Equity Value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1,416.22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(÷) Shares Outstanding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219.27M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8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Valor Intrínseco por Ação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¥6,458.81</w:t>
            </w:r>
          </w:p>
        </w:tc>
        <w:tc>
          <w:tcPr>
            <w:tcW w:w="289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TABELA 8 - Valuation DCF - SEGA SAMMY (CORRIGIDO)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Cálculos:</w:t>
      </w:r>
      <w:r>
        <w:rPr>
          <w:sz w:val="24"/>
          <w:szCs w:val="24"/>
        </w:rPr>
        <w:br/>
        <w:t>EV = 211.66B + 1,154.69B = 1,366.35B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Net Debt = 161.84B - 211.72B = (49.87B) [Negativo = mais caixa que dívida]</w:t>
      </w:r>
      <w:r>
        <w:rPr>
          <w:sz w:val="24"/>
          <w:szCs w:val="24"/>
        </w:rPr>
        <w:br/>
        <w:t>Equity Value = 1,366.35B - (49.87B) = 1,416.22B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Valor por Ação = 1,416.22B / 219.27M = ¥6,458.81</w:t>
      </w:r>
    </w:p>
    <w:p>
      <w:pPr>
        <w:pStyle w:val="Heading3"/>
        <w:spacing w:lineRule="auto" w:line="240"/>
        <w:ind w:hanging="0" w:left="0"/>
        <w:rPr/>
      </w:pPr>
      <w:bookmarkStart w:id="42" w:name="__RefHeading___Toc3012_1025558498"/>
      <w:bookmarkStart w:id="43" w:name="bm_4_3_7_análise_de_valuation_rec_2ba888"/>
      <w:bookmarkEnd w:id="42"/>
      <w:r>
        <w:rPr/>
        <w:t>4.3.7 Análise de Valuation - Recomendação</w:t>
      </w:r>
      <w:bookmarkEnd w:id="43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Métrica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Valor Intrínseco (DCF)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¥6,458.81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Preço de Mercado (Dez/2024)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¥3,076.00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Diferença Absoluta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¥3,382.81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Desconto de Mercado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-52.38%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Razão de Valuation (VI/PM)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2.10x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9 - Comparação Valor Intrínseco vs Preço de Mercado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A SEGA SAMMY está sendo negociada com </w:t>
      </w:r>
      <w:r>
        <w:rPr>
          <w:b/>
          <w:sz w:val="24"/>
          <w:szCs w:val="24"/>
        </w:rPr>
        <w:t>desconto de 52,38%</w:t>
      </w:r>
      <w:r>
        <w:rPr>
          <w:rFonts w:eastAsia="Georgia" w:cs="Georgia"/>
          <w:sz w:val="24"/>
          <w:szCs w:val="24"/>
        </w:rPr>
        <w:t xml:space="preserve"> em relação ao seu valor justo estimado pelo modelo DCF. Isso significa que a empresa está cotada a apenas </w:t>
      </w:r>
      <w:r>
        <w:rPr>
          <w:b/>
          <w:sz w:val="24"/>
          <w:szCs w:val="24"/>
        </w:rPr>
        <w:t>47,62%</w:t>
      </w:r>
      <w:r>
        <w:rPr>
          <w:rFonts w:eastAsia="Georgia" w:cs="Georgia"/>
          <w:sz w:val="24"/>
          <w:szCs w:val="24"/>
        </w:rPr>
        <w:t xml:space="preserve"> de seu valor intrínseco.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Cálculo: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Desconto % = (Preço Mercado - Valor Intrínseco) / Valor Intrínseco × 100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Desconto % = (3,076.00 - 6,458.81) / 6,458.81 × 100</w:t>
      </w:r>
      <w:r>
        <w:rPr>
          <w:sz w:val="24"/>
          <w:szCs w:val="24"/>
        </w:rPr>
        <w:br/>
        <w:t>Desconto % = -52.38%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Recomendação:</w:t>
      </w:r>
      <w:r>
        <w:rPr>
          <w:rFonts w:eastAsia="Georgia" w:cs="Georgia"/>
          <w:sz w:val="24"/>
          <w:szCs w:val="24"/>
        </w:rPr>
        <w:t xml:space="preserve"> </w:t>
      </w:r>
      <w:r>
        <w:rPr>
          <w:b/>
          <w:sz w:val="24"/>
          <w:szCs w:val="24"/>
        </w:rPr>
        <w:t>COMPRA FORTE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A empresa apresenta potencial de valorização de aproximadamente </w:t>
      </w:r>
      <w:r>
        <w:rPr>
          <w:b/>
          <w:sz w:val="24"/>
          <w:szCs w:val="24"/>
        </w:rPr>
        <w:t>110%</w:t>
      </w:r>
      <w:r>
        <w:rPr>
          <w:rFonts w:eastAsia="Georgia" w:cs="Georgia"/>
          <w:sz w:val="24"/>
          <w:szCs w:val="24"/>
        </w:rPr>
        <w:t xml:space="preserve"> caso o mercado repricie adequadamente a empresa para seu valor justo (2.10x de múltiplo de upside).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Robustez da Análise:</w:t>
      </w:r>
      <w:r>
        <w:rPr>
          <w:sz w:val="24"/>
          <w:szCs w:val="24"/>
        </w:rPr>
        <w:br/>
        <w:t xml:space="preserve">Mesmo com a premissa </w:t>
      </w:r>
      <w:r>
        <w:rPr>
          <w:b/>
          <w:sz w:val="24"/>
          <w:szCs w:val="24"/>
        </w:rPr>
        <w:t>mais conservadora</w:t>
      </w:r>
      <w:r>
        <w:rPr>
          <w:rFonts w:eastAsia="Georgia" w:cs="Georgia"/>
          <w:sz w:val="24"/>
          <w:szCs w:val="24"/>
        </w:rPr>
        <w:t xml:space="preserve"> de crescimento terminal (g = 1,0% vs 2,5% anterior), o desconto persiste significativo e a recomendação permanece válida. Isso demonstra a solidez fundamental da oportunidade.</w:t>
      </w:r>
    </w:p>
    <w:p>
      <w:pPr>
        <w:pStyle w:val="Heading2"/>
        <w:spacing w:lineRule="auto" w:line="240"/>
        <w:ind w:hanging="0" w:left="0"/>
        <w:rPr/>
      </w:pPr>
      <w:bookmarkStart w:id="44" w:name="__RefHeading___Toc3014_1025558498"/>
      <w:bookmarkStart w:id="45" w:name="bm_4_4_análise_de_sensibilidade"/>
      <w:bookmarkEnd w:id="44"/>
      <w:r>
        <w:rPr/>
        <w:t>4.4 ANÁLISE DE SENSIBILIDADE</w:t>
      </w:r>
      <w:bookmarkEnd w:id="45"/>
    </w:p>
    <w:tbl>
      <w:tblPr>
        <w:tblStyle w:val="TableGrid"/>
        <w:tblW w:w="8688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48"/>
        <w:gridCol w:w="1447"/>
        <w:gridCol w:w="1449"/>
        <w:gridCol w:w="1448"/>
        <w:gridCol w:w="1447"/>
        <w:gridCol w:w="1448"/>
      </w:tblGrid>
      <w:tr>
        <w:trPr>
          <w:cantSplit w:val="true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WACC / g</w:t>
            </w:r>
          </w:p>
        </w:tc>
        <w:tc>
          <w:tcPr>
            <w:tcW w:w="14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0.50%</w:t>
            </w: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1.00%</w:t>
            </w:r>
          </w:p>
        </w:tc>
        <w:tc>
          <w:tcPr>
            <w:tcW w:w="1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1.50%</w:t>
            </w:r>
          </w:p>
        </w:tc>
        <w:tc>
          <w:tcPr>
            <w:tcW w:w="14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2.00%</w:t>
            </w:r>
          </w:p>
        </w:tc>
        <w:tc>
          <w:tcPr>
            <w:tcW w:w="1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2.50%</w:t>
            </w:r>
          </w:p>
        </w:tc>
      </w:tr>
      <w:tr>
        <w:trPr>
          <w:cantSplit w:val="true"/>
        </w:trPr>
        <w:tc>
          <w:tcPr>
            <w:tcW w:w="144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3.92%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¥8,940</w:t>
            </w:r>
          </w:p>
        </w:tc>
        <w:tc>
          <w:tcPr>
            <w:tcW w:w="1449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¥9,931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¥11,057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¥12,348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¥13,865</w:t>
            </w:r>
          </w:p>
        </w:tc>
      </w:tr>
      <w:tr>
        <w:trPr>
          <w:cantSplit w:val="true"/>
        </w:trPr>
        <w:tc>
          <w:tcPr>
            <w:tcW w:w="144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4.42%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¥7,544</w:t>
            </w:r>
          </w:p>
        </w:tc>
        <w:tc>
          <w:tcPr>
            <w:tcW w:w="1449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¥8,308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¥9,213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¥10,284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¥11,566</w:t>
            </w:r>
          </w:p>
        </w:tc>
      </w:tr>
      <w:tr>
        <w:trPr>
          <w:cantSplit w:val="true"/>
        </w:trPr>
        <w:tc>
          <w:tcPr>
            <w:tcW w:w="144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4.92%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¥6,458</w:t>
            </w:r>
          </w:p>
        </w:tc>
        <w:tc>
          <w:tcPr>
            <w:tcW w:w="1449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¥6,459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¥7,822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¥8,654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¥9,840</w:t>
            </w:r>
          </w:p>
        </w:tc>
      </w:tr>
      <w:tr>
        <w:trPr>
          <w:cantSplit w:val="true"/>
        </w:trPr>
        <w:tc>
          <w:tcPr>
            <w:tcW w:w="144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5.42%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¥5,601</w:t>
            </w:r>
          </w:p>
        </w:tc>
        <w:tc>
          <w:tcPr>
            <w:tcW w:w="1449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¥6,246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¥6,754</w:t>
            </w:r>
          </w:p>
        </w:tc>
        <w:tc>
          <w:tcPr>
            <w:tcW w:w="1447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¥7,426</w:t>
            </w:r>
          </w:p>
        </w:tc>
        <w:tc>
          <w:tcPr>
            <w:tcW w:w="1448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¥8,412</w:t>
            </w:r>
          </w:p>
        </w:tc>
      </w:tr>
      <w:tr>
        <w:trPr>
          <w:cantSplit w:val="true"/>
        </w:trPr>
        <w:tc>
          <w:tcPr>
            <w:tcW w:w="14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5.92%</w:t>
            </w:r>
          </w:p>
        </w:tc>
        <w:tc>
          <w:tcPr>
            <w:tcW w:w="144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¥4,911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¥5,528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¥5,944</w:t>
            </w:r>
          </w:p>
        </w:tc>
        <w:tc>
          <w:tcPr>
            <w:tcW w:w="144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¥6,502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¥7,345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10 - Análise de Sensibilidade (WACC vs g)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Interpretação: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Cenário Base (WACC=4.92%, g=1.0%): ¥6,459 por ação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Mesmo em cenários muito conservadores (WACC=5.42%, g=0.5%): ¥5,601, ainda 82% acima do preço de mercado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Em todos os cenários testados, a empresa mantém desconto significativo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Recomendação COMPRA é robusta contra variações razoáveis de premissas</w:t>
      </w:r>
    </w:p>
    <w:p>
      <w:pPr>
        <w:pStyle w:val="Heading1"/>
        <w:numPr>
          <w:ilvl w:val="0"/>
          <w:numId w:val="0"/>
        </w:numPr>
        <w:spacing w:lineRule="auto" w:line="240"/>
        <w:ind w:hanging="0" w:left="0"/>
        <w:rPr/>
      </w:pPr>
      <w:bookmarkStart w:id="46" w:name="__RefHeading___Toc3016_1025558498"/>
      <w:bookmarkStart w:id="47" w:name="bm_5_resultados_consolidados"/>
      <w:bookmarkEnd w:id="46"/>
      <w:r>
        <w:rPr/>
        <w:t>5. RESULTADOS CONSOLIDADOS</w:t>
      </w:r>
      <w:bookmarkEnd w:id="47"/>
    </w:p>
    <w:p>
      <w:pPr>
        <w:pStyle w:val="Heading2"/>
        <w:numPr>
          <w:ilvl w:val="0"/>
          <w:numId w:val="0"/>
        </w:numPr>
        <w:spacing w:lineRule="auto" w:line="240"/>
        <w:ind w:hanging="0" w:left="0"/>
        <w:rPr/>
      </w:pPr>
      <w:bookmarkStart w:id="48" w:name="__RefHeading___Toc3018_1025558498"/>
      <w:bookmarkStart w:id="49" w:name="bm_5_1_síntese_da_valuation_relativa"/>
      <w:bookmarkEnd w:id="48"/>
      <w:r>
        <w:rPr/>
        <w:t>5.1 Síntese da Valuation Relativa</w:t>
      </w:r>
      <w:bookmarkEnd w:id="49"/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Métrica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SEGA SAMMY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NINTENDO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CAPCOM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P/L Ratio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20.40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21.98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33.50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P/B Ratio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1.89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4.14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7.45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EV/EBITDA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10.66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14.22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21.08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11 - Síntese de Múltiplos de Valuation</w:t>
      </w:r>
    </w:p>
    <w:p>
      <w:pPr>
        <w:pStyle w:val="Normal"/>
        <w:spacing w:lineRule="auto" w:line="240" w:before="0" w:after="210"/>
        <w:jc w:val="both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 SEGA SAMMY oferece a melhor relação preço/fundamentals entre as três empresas analisadas. Este múltiplo mais atrativo justificou sua seleção para análise aprofundada via DCF.</w:t>
      </w:r>
    </w:p>
    <w:p>
      <w:pPr>
        <w:pStyle w:val="Heading2"/>
        <w:numPr>
          <w:ilvl w:val="0"/>
          <w:numId w:val="0"/>
        </w:numPr>
        <w:spacing w:lineRule="auto" w:line="240"/>
        <w:ind w:hanging="0" w:left="0"/>
        <w:rPr/>
      </w:pPr>
      <w:bookmarkStart w:id="50" w:name="__RefHeading___Toc3020_1025558498"/>
      <w:bookmarkStart w:id="51" w:name="bm_5_2_síntese_da_valuation_absoluta"/>
      <w:bookmarkEnd w:id="50"/>
      <w:r>
        <w:rPr/>
        <w:t>5.2 Síntese da Valuation Absoluta</w:t>
      </w:r>
      <w:bookmarkEnd w:id="51"/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O modelo DCF estimou valor intrínseco de </w:t>
      </w:r>
      <w:r>
        <w:rPr>
          <w:b/>
          <w:sz w:val="24"/>
          <w:szCs w:val="24"/>
        </w:rPr>
        <w:t>¥6,458.81 por ação</w:t>
      </w:r>
      <w:r>
        <w:rPr>
          <w:rFonts w:eastAsia="Georgia" w:cs="Georgia"/>
          <w:sz w:val="24"/>
          <w:szCs w:val="24"/>
        </w:rPr>
        <w:t xml:space="preserve"> para SEGA SAMMY, significativamente acima do preço de mercado de ¥3,076.00.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Principais Premissas (CORRIGIDAS):</w:t>
      </w:r>
    </w:p>
    <w:p>
      <w:pPr>
        <w:pStyle w:val="Normal"/>
        <w:numPr>
          <w:ilvl w:val="0"/>
          <w:numId w:val="14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WACC: 4.92%</w:t>
      </w:r>
    </w:p>
    <w:p>
      <w:pPr>
        <w:pStyle w:val="Normal"/>
        <w:numPr>
          <w:ilvl w:val="0"/>
          <w:numId w:val="14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Taxa de crescimento explícita: 8% a.a. (2025-2029)</w:t>
      </w:r>
    </w:p>
    <w:p>
      <w:pPr>
        <w:pStyle w:val="Normal"/>
        <w:numPr>
          <w:ilvl w:val="0"/>
          <w:numId w:val="14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Taxa de crescimento terminal: </w:t>
      </w:r>
      <w:r>
        <w:rPr>
          <w:b/>
          <w:sz w:val="24"/>
          <w:szCs w:val="24"/>
        </w:rPr>
        <w:t>1.00% a.a.</w:t>
      </w:r>
      <w:r>
        <w:rPr>
          <w:rFonts w:eastAsia="Georgia" w:cs="Georgia"/>
          <w:sz w:val="24"/>
          <w:szCs w:val="24"/>
        </w:rPr>
        <w:t xml:space="preserve"> (reduzida de 2.5% para refletir economia madura do Japão)</w:t>
      </w:r>
    </w:p>
    <w:p>
      <w:pPr>
        <w:pStyle w:val="Normal"/>
        <w:numPr>
          <w:ilvl w:val="0"/>
          <w:numId w:val="14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Período de projeção: 5 anos</w:t>
      </w:r>
    </w:p>
    <w:p>
      <w:pPr>
        <w:pStyle w:val="Normal"/>
        <w:numPr>
          <w:ilvl w:val="0"/>
          <w:numId w:val="14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Valor agregado pela perpetuidade: 84,49% do valor total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Justificativa da Redução de g: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>A redução de g de 2,5% para 1,0% reflete realidade macroeconômica do Japão:</w:t>
      </w:r>
    </w:p>
    <w:p>
      <w:pPr>
        <w:pStyle w:val="Normal"/>
        <w:numPr>
          <w:ilvl w:val="0"/>
          <w:numId w:val="15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Crescimento esperado do PIB real: 0,5%-1,0% (FMI, Banco do Japão)</w:t>
      </w:r>
    </w:p>
    <w:p>
      <w:pPr>
        <w:pStyle w:val="Normal"/>
        <w:numPr>
          <w:ilvl w:val="0"/>
          <w:numId w:val="15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População envelhecida com taxas de natalidade decrescentes</w:t>
      </w:r>
    </w:p>
    <w:p>
      <w:pPr>
        <w:pStyle w:val="Normal"/>
        <w:numPr>
          <w:ilvl w:val="0"/>
          <w:numId w:val="15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Economia estruturalmente madura</w:t>
      </w:r>
    </w:p>
    <w:p>
      <w:pPr>
        <w:pStyle w:val="Normal"/>
        <w:numPr>
          <w:ilvl w:val="0"/>
          <w:numId w:val="15"/>
        </w:num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Uso de 1,0% é conservador e academicamente defensável</w:t>
      </w:r>
    </w:p>
    <w:p>
      <w:pPr>
        <w:pStyle w:val="Heading2"/>
        <w:numPr>
          <w:ilvl w:val="0"/>
          <w:numId w:val="0"/>
        </w:numPr>
        <w:spacing w:lineRule="auto" w:line="240"/>
        <w:ind w:hanging="0" w:left="0"/>
        <w:jc w:val="left"/>
        <w:rPr/>
      </w:pPr>
      <w:bookmarkStart w:id="52" w:name="__RefHeading___Toc3022_1025558498"/>
      <w:bookmarkStart w:id="53" w:name="bm_5_3_recomendação_de_investimento"/>
      <w:bookmarkEnd w:id="52"/>
      <w:r>
        <w:rPr/>
        <w:t>5.3 Recomendação de Investimento</w:t>
      </w:r>
      <w:bookmarkEnd w:id="53"/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Empresa:</w:t>
      </w:r>
      <w:r>
        <w:rPr>
          <w:sz w:val="24"/>
          <w:szCs w:val="24"/>
        </w:rPr>
        <w:t xml:space="preserve"> SEGA SAMMY Holdings Inc. (6460.T)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Recomendação:</w:t>
      </w:r>
      <w:r>
        <w:rPr>
          <w:rFonts w:eastAsia="Georgia" w:cs="Georgia"/>
          <w:sz w:val="24"/>
          <w:szCs w:val="24"/>
        </w:rPr>
        <w:t xml:space="preserve"> ✓✓✓ </w:t>
      </w:r>
      <w:r>
        <w:rPr>
          <w:b/>
          <w:sz w:val="24"/>
          <w:szCs w:val="24"/>
        </w:rPr>
        <w:t>COMPRA FORTE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Preço Alvo:</w:t>
      </w:r>
      <w:r>
        <w:rPr>
          <w:rFonts w:eastAsia="Georgia" w:cs="Georgia"/>
          <w:sz w:val="24"/>
          <w:szCs w:val="24"/>
        </w:rPr>
        <w:t xml:space="preserve"> ¥6,458.81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Preço Atual:</w:t>
      </w:r>
      <w:r>
        <w:rPr>
          <w:rFonts w:eastAsia="Georgia" w:cs="Georgia"/>
          <w:sz w:val="24"/>
          <w:szCs w:val="24"/>
        </w:rPr>
        <w:t xml:space="preserve"> ¥3,076.00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Upside Potencial:</w:t>
      </w:r>
      <w:r>
        <w:rPr>
          <w:sz w:val="24"/>
          <w:szCs w:val="24"/>
        </w:rPr>
        <w:t xml:space="preserve"> +110%</w:t>
      </w:r>
    </w:p>
    <w:p>
      <w:pPr>
        <w:pStyle w:val="Normal"/>
        <w:spacing w:lineRule="auto" w:line="240" w:before="0" w:after="21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Desconto Atual:</w:t>
      </w:r>
      <w:r>
        <w:rPr>
          <w:sz w:val="24"/>
          <w:szCs w:val="24"/>
        </w:rPr>
        <w:t xml:space="preserve"> -52,38%</w:t>
      </w:r>
    </w:p>
    <w:p>
      <w:pPr>
        <w:pStyle w:val="Heading1"/>
        <w:numPr>
          <w:ilvl w:val="0"/>
          <w:numId w:val="0"/>
        </w:numPr>
        <w:spacing w:lineRule="auto" w:line="240"/>
        <w:ind w:hanging="0" w:left="0"/>
        <w:rPr/>
      </w:pPr>
      <w:bookmarkStart w:id="54" w:name="__RefHeading___Toc3024_1025558498"/>
      <w:bookmarkStart w:id="55" w:name="bm_6_complementariedade_dos_métodos"/>
      <w:bookmarkEnd w:id="54"/>
      <w:r>
        <w:rPr/>
        <w:t>6. COMPLEMENTARIEDADE DOS MÉTODOS</w:t>
      </w:r>
      <w:bookmarkEnd w:id="55"/>
    </w:p>
    <w:p>
      <w:pPr>
        <w:pStyle w:val="Heading2"/>
        <w:spacing w:lineRule="auto" w:line="240"/>
        <w:ind w:hanging="0" w:left="0"/>
        <w:rPr/>
      </w:pPr>
      <w:bookmarkStart w:id="56" w:name="__RefHeading___Toc3026_1025558498"/>
      <w:bookmarkStart w:id="57" w:name="bm_6_1_força_da_valuation_relativa"/>
      <w:bookmarkEnd w:id="56"/>
      <w:r>
        <w:rPr/>
        <w:t>6.1 Força da Valuation Relativa</w:t>
      </w:r>
      <w:bookmarkEnd w:id="57"/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Simplicidade e rapidez na análise de múltiplas empresas</w:t>
      </w:r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Usa dados de mercado eficientes</w:t>
      </w:r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Identifica outliers (empresas descontadas/prêmiadas)</w:t>
      </w:r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Útil para filtragem inicial</w:t>
      </w:r>
    </w:p>
    <w:p>
      <w:pPr>
        <w:pStyle w:val="Heading2"/>
        <w:spacing w:lineRule="auto" w:line="240"/>
        <w:ind w:hanging="0" w:left="0"/>
        <w:rPr/>
      </w:pPr>
      <w:bookmarkStart w:id="58" w:name="__RefHeading___Toc3028_1025558498"/>
      <w:bookmarkStart w:id="59" w:name="bm_6_2_força_da_valuation_absoluta"/>
      <w:bookmarkEnd w:id="58"/>
      <w:r>
        <w:rPr/>
        <w:t>6.2 Força da Valuation Absoluta</w:t>
      </w:r>
      <w:bookmarkEnd w:id="59"/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Análise profunda dos fundamentos econômicos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Considera capacidade de geração de caixa futura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Menos sensível a vieses de mercado de curto prazo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Oferece valor justo independente de comparáveis</w:t>
      </w:r>
    </w:p>
    <w:p>
      <w:pPr>
        <w:pStyle w:val="Heading2"/>
        <w:spacing w:lineRule="auto" w:line="240"/>
        <w:ind w:hanging="0" w:left="0"/>
        <w:rPr/>
      </w:pPr>
      <w:bookmarkStart w:id="60" w:name="__RefHeading___Toc3030_1025558498"/>
      <w:bookmarkStart w:id="61" w:name="bm_6_3_uso_complementar"/>
      <w:bookmarkEnd w:id="60"/>
      <w:r>
        <w:rPr/>
        <w:t>6.3 Uso Complementar</w:t>
      </w:r>
      <w:bookmarkEnd w:id="61"/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Filtro Inicial</w:t>
      </w:r>
      <w:r>
        <w:rPr>
          <w:rFonts w:eastAsia="Georgia" w:cs="Georgia"/>
          <w:sz w:val="24"/>
          <w:szCs w:val="24"/>
        </w:rPr>
        <w:t>: Utilizar múltiplos para identificar empresas descontadas (SEGA SAMMY)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Validação</w:t>
      </w:r>
      <w:r>
        <w:rPr>
          <w:sz w:val="24"/>
          <w:szCs w:val="24"/>
        </w:rPr>
        <w:t>: Aplicar DCF para confirmar e quantificar oportunidade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Decisão</w:t>
      </w:r>
      <w:r>
        <w:rPr>
          <w:rFonts w:eastAsia="Georgia" w:cs="Georgia"/>
          <w:sz w:val="24"/>
          <w:szCs w:val="24"/>
        </w:rPr>
        <w:t>: Comparar valor intrínseco com preço para recomendação final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Resultado da Complementariedade:</w:t>
      </w:r>
      <w:r>
        <w:rPr>
          <w:sz w:val="24"/>
          <w:szCs w:val="24"/>
        </w:rPr>
        <w:br/>
      </w:r>
      <w:r>
        <w:rPr>
          <w:rFonts w:eastAsia="Georgia" w:cs="Georgia"/>
          <w:sz w:val="24"/>
          <w:szCs w:val="24"/>
        </w:rPr>
        <w:t xml:space="preserve">Ambos os métodos (relativo via P/L = 20,4x e absoluto via DCF) convergem para a mesma conclusão: </w:t>
      </w:r>
      <w:r>
        <w:rPr>
          <w:b/>
          <w:sz w:val="24"/>
          <w:szCs w:val="24"/>
        </w:rPr>
        <w:t>SEGA SAMMY é subavaliada e apresenta oportunidade de compra</w:t>
      </w:r>
      <w:r>
        <w:rPr>
          <w:rFonts w:eastAsia="Georgia" w:cs="Georgia"/>
          <w:sz w:val="24"/>
          <w:szCs w:val="24"/>
        </w:rPr>
        <w:t>. Esta convergência fortalece a confiança na recomendação.</w:t>
      </w:r>
    </w:p>
    <w:p>
      <w:pPr>
        <w:pStyle w:val="Normal"/>
        <w:spacing w:lineRule="auto" w:line="240" w:before="0" w:after="21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Heading1"/>
        <w:spacing w:lineRule="auto" w:line="240"/>
        <w:ind w:hanging="0" w:left="0"/>
        <w:rPr/>
      </w:pPr>
      <w:bookmarkStart w:id="62" w:name="__RefHeading___Toc3032_1025558498"/>
      <w:bookmarkStart w:id="63" w:name="bm_7_análise_crítica_e_limitações"/>
      <w:bookmarkEnd w:id="62"/>
      <w:r>
        <w:rPr/>
        <w:t>7. ANÁLISE CRÍTICA E LIMITAÇÕES</w:t>
      </w:r>
      <w:bookmarkEnd w:id="63"/>
    </w:p>
    <w:p>
      <w:pPr>
        <w:pStyle w:val="Heading2"/>
        <w:spacing w:lineRule="auto" w:line="240"/>
        <w:ind w:hanging="0" w:left="0"/>
        <w:rPr/>
      </w:pPr>
      <w:bookmarkStart w:id="64" w:name="__RefHeading___Toc3034_1025558498"/>
      <w:bookmarkStart w:id="65" w:name="bm_7_1_limitações_da_análise"/>
      <w:bookmarkEnd w:id="64"/>
      <w:r>
        <w:rPr/>
        <w:t>7.1 Limitações da Análise</w:t>
      </w:r>
      <w:bookmarkEnd w:id="65"/>
    </w:p>
    <w:p>
      <w:pPr>
        <w:pStyle w:val="Normal"/>
        <w:numPr>
          <w:ilvl w:val="0"/>
          <w:numId w:val="19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Premissas Macroeconômicas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Assunção de WACC constante ao longo do período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Taxa de crescimento terminal de 1.0% é conservadora e apropriada para economia madura, mas mudanças em políticas monetárias poderiam impactá-la</w:t>
      </w:r>
    </w:p>
    <w:p>
      <w:pPr>
        <w:pStyle w:val="Normal"/>
        <w:numPr>
          <w:ilvl w:val="0"/>
          <w:numId w:val="19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Dados de Mercado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Análise baseada em dados de dezembro de 2024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Volatilidade cambial (¥/USD) não considerada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Mudanças em taxas de juros globais podem afetar Rf</w:t>
      </w:r>
    </w:p>
    <w:p>
      <w:pPr>
        <w:pStyle w:val="Normal"/>
        <w:numPr>
          <w:ilvl w:val="0"/>
          <w:numId w:val="19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Setor de Games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Alta incertidão sobre sucessos/fracassos de novos títulos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Rápida obsolescência tecnológica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Riscos de mudanças de preferência do consumidor</w:t>
      </w:r>
    </w:p>
    <w:p>
      <w:pPr>
        <w:pStyle w:val="Normal"/>
        <w:numPr>
          <w:ilvl w:val="0"/>
          <w:numId w:val="19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Metodologia DCF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Sensível a pequenas mudanças em premissas</w:t>
      </w:r>
    </w:p>
    <w:p>
      <w:pPr>
        <w:pStyle w:val="Normal"/>
        <w:numPr>
          <w:ilvl w:val="1"/>
          <w:numId w:val="19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Requer estimativas precisas de fluxos futuros</w:t>
      </w:r>
    </w:p>
    <w:p>
      <w:pPr>
        <w:pStyle w:val="Heading2"/>
        <w:spacing w:lineRule="auto" w:line="240"/>
        <w:ind w:hanging="0" w:left="0"/>
        <w:rPr/>
      </w:pPr>
      <w:bookmarkStart w:id="66" w:name="__RefHeading___Toc3036_1025558498"/>
      <w:bookmarkStart w:id="67" w:name="bm_7_2_recomendações_para_pesquis_ce26ec"/>
      <w:bookmarkEnd w:id="66"/>
      <w:r>
        <w:rPr/>
        <w:t>7.2 Recomendações para Pesquisas Futuras</w:t>
      </w:r>
      <w:bookmarkEnd w:id="67"/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Expandir amostra com outras empresas do setor de entretenimento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Analisar cenários econômicos (otimista, base, pessimista)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Incluir análise de risco (VaR, stress test)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Estudar correlações com índices econômicos japoneses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  <w:t>Acompanhar pipeline de novos games e lançamentos</w:t>
      </w:r>
    </w:p>
    <w:p>
      <w:pPr>
        <w:pStyle w:val="Normal"/>
        <w:spacing w:lineRule="auto" w:line="240"/>
        <w:rPr>
          <w:rFonts w:ascii="Times New Roman" w:hAnsi="Times New Roman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Heading1"/>
        <w:spacing w:lineRule="auto" w:line="240"/>
        <w:ind w:hanging="0" w:left="0"/>
        <w:rPr/>
      </w:pPr>
      <w:bookmarkStart w:id="68" w:name="__RefHeading___Toc3038_1025558498"/>
      <w:bookmarkStart w:id="69" w:name="bm_8_considerações_finais"/>
      <w:bookmarkEnd w:id="68"/>
      <w:r>
        <w:rPr/>
        <w:t>8. CONSIDERAÇÕES FINAIS</w:t>
      </w:r>
      <w:bookmarkEnd w:id="69"/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Este trabalho demonstrou a viabilidade e importância de combinar métodos de valuation relativa e absoluta na análise de empresas de games, com especial atenção às características macroeconômicas da economia japonesa.</w:t>
      </w:r>
    </w:p>
    <w:p>
      <w:pPr>
        <w:pStyle w:val="Normal"/>
        <w:spacing w:lineRule="auto" w:line="240" w:before="240" w:after="120"/>
        <w:rPr>
          <w:rFonts w:ascii="Times New Roman" w:hAnsi="Times New Roman"/>
          <w:sz w:val="24"/>
          <w:szCs w:val="24"/>
        </w:rPr>
      </w:pPr>
      <w:bookmarkStart w:id="70" w:name="conclusões_principais"/>
      <w:r>
        <w:rPr>
          <w:rFonts w:eastAsia="Georgia" w:cs="Georgia"/>
          <w:b/>
          <w:sz w:val="24"/>
          <w:szCs w:val="24"/>
        </w:rPr>
        <w:t>Conclusões Principais</w:t>
      </w:r>
      <w:bookmarkEnd w:id="70"/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SEGA SAMMY apresenta desconto de mercado significativo</w:t>
      </w:r>
      <w:r>
        <w:rPr>
          <w:sz w:val="24"/>
          <w:szCs w:val="24"/>
        </w:rPr>
        <w:t xml:space="preserve"> de 52,38%, representando oportunidade de investimento com upside de 110% quando utiliza-se premissas conservadores para economia madura.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Análise relativa foi eficaz</w:t>
      </w:r>
      <w:r>
        <w:rPr>
          <w:rFonts w:eastAsia="Georgia" w:cs="Georgia"/>
          <w:sz w:val="24"/>
          <w:szCs w:val="24"/>
        </w:rPr>
        <w:t xml:space="preserve"> em identificar candidato mais atrativo (P/L = 20,4x vs pares), reduzindo necessidade de análise profunda de todas empresas.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Valuation absoluta confirmou descontos</w:t>
      </w:r>
      <w:r>
        <w:rPr>
          <w:rFonts w:eastAsia="Georgia" w:cs="Georgia"/>
          <w:sz w:val="24"/>
          <w:szCs w:val="24"/>
        </w:rPr>
        <w:t xml:space="preserve"> identificados por múltiplos e quantificou com precisão a magnitude da oportunidade.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Setor de games oferece crescimento robusto</w:t>
      </w:r>
      <w:r>
        <w:rPr>
          <w:sz w:val="24"/>
          <w:szCs w:val="24"/>
        </w:rPr>
        <w:t>, especialmente para SEGA SAMMY com FCF crescimento de 97% em 2 anos.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Complementariedade de métodos é crucial</w:t>
      </w:r>
      <w:r>
        <w:rPr>
          <w:rFonts w:eastAsia="Georgia" w:cs="Georgia"/>
          <w:sz w:val="24"/>
          <w:szCs w:val="24"/>
        </w:rPr>
        <w:t xml:space="preserve"> para decisões de investimento, evitando análises excessivas e falsos positivos.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Contexto macroeconômico importa:</w:t>
      </w:r>
      <w:r>
        <w:rPr>
          <w:rFonts w:eastAsia="Georgia" w:cs="Georgia"/>
          <w:sz w:val="24"/>
          <w:szCs w:val="24"/>
        </w:rPr>
        <w:t xml:space="preserve"> O uso de g=1,0% refletindo economia madura do Japão torna a análise mais defensável academicamente comparado a pressupostos genéricos.</w:t>
      </w:r>
    </w:p>
    <w:p>
      <w:pPr>
        <w:pStyle w:val="Normal"/>
        <w:spacing w:lineRule="auto" w:line="240" w:before="240" w:after="120"/>
        <w:rPr>
          <w:rFonts w:ascii="Times New Roman" w:hAnsi="Times New Roman"/>
          <w:sz w:val="24"/>
          <w:szCs w:val="24"/>
        </w:rPr>
      </w:pPr>
      <w:bookmarkStart w:id="71" w:name="recomendação_final"/>
      <w:r>
        <w:rPr>
          <w:rFonts w:eastAsia="Georgia" w:cs="Georgia"/>
          <w:b/>
          <w:sz w:val="24"/>
          <w:szCs w:val="24"/>
        </w:rPr>
        <w:t>Recomendação Final</w:t>
      </w:r>
      <w:bookmarkEnd w:id="71"/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Investidores interessados em exposição ao setor de games japonês devem considerar SEGA SAMMY como oportunidade de compra no preço atual. A recomendação é válida especialmente para investidores com horizonte de 3-5 anos e tolerância a volatilidade moderada.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Mesmo sob pressupostos conservadores (g=1,0%, refletindo crescimento esperado da economia japonesa), a empresa mantém desconto significativo de 52%, fornecendo margem de segurança (margin of safety) adequada.</w:t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240" w:after="120"/>
        <w:jc w:val="center"/>
        <w:rPr>
          <w:rFonts w:ascii="Times New Roman" w:hAnsi="Times New Roman"/>
          <w:sz w:val="24"/>
          <w:szCs w:val="24"/>
        </w:rPr>
      </w:pPr>
      <w:bookmarkStart w:id="72" w:name="referências"/>
      <w:r>
        <w:rPr>
          <w:rFonts w:eastAsia="Georgia" w:cs="Georgia"/>
          <w:b/>
          <w:sz w:val="24"/>
          <w:szCs w:val="24"/>
        </w:rPr>
        <w:t>REFERÊNCIAS</w:t>
      </w:r>
      <w:bookmarkEnd w:id="72"/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BREALEY, R. A.; MYERS, S. C.; ALLEN, F. </w:t>
      </w:r>
      <w:r>
        <w:rPr>
          <w:b/>
          <w:sz w:val="24"/>
          <w:szCs w:val="24"/>
        </w:rPr>
        <w:t>Princípios de Finanças Corporativas</w:t>
      </w:r>
      <w:r>
        <w:rPr>
          <w:sz w:val="24"/>
          <w:szCs w:val="24"/>
        </w:rPr>
        <w:t>. 12. ed. Porto Alegre: AMGH, 2018.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DAMODARAN, A. </w:t>
      </w:r>
      <w:r>
        <w:rPr>
          <w:b/>
          <w:sz w:val="24"/>
          <w:szCs w:val="24"/>
        </w:rPr>
        <w:t>Valuation: Como Avaliar Empresas e Escolher as Melhores Ações</w:t>
      </w:r>
      <w:r>
        <w:rPr>
          <w:sz w:val="24"/>
          <w:szCs w:val="24"/>
        </w:rPr>
        <w:t>. Rio de Janeiro: LTC, 2012.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KOLLER, T.; GOEDHART, M.; WESSELS, D. </w:t>
      </w:r>
      <w:r>
        <w:rPr>
          <w:b/>
          <w:sz w:val="24"/>
          <w:szCs w:val="24"/>
        </w:rPr>
        <w:t>Avaliação de Empresas: Como Medir e Gerenciar o Valor das Empresas</w:t>
      </w:r>
      <w:r>
        <w:rPr>
          <w:sz w:val="24"/>
          <w:szCs w:val="24"/>
        </w:rPr>
        <w:t>. 7. ed. Porto Alegre: Bookman, 2022.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NETO, A. A. </w:t>
      </w:r>
      <w:r>
        <w:rPr>
          <w:b/>
          <w:sz w:val="24"/>
          <w:szCs w:val="24"/>
        </w:rPr>
        <w:t>Finanças Corporativas e Valor</w:t>
      </w:r>
      <w:r>
        <w:rPr>
          <w:sz w:val="24"/>
          <w:szCs w:val="24"/>
        </w:rPr>
        <w:t>. 8. ed. Rio de Janeiro: Atlas, 2020.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NETO, A. A. </w:t>
      </w:r>
      <w:r>
        <w:rPr>
          <w:b/>
          <w:sz w:val="24"/>
          <w:szCs w:val="24"/>
        </w:rPr>
        <w:t>Mercado Financeiro</w:t>
      </w:r>
      <w:r>
        <w:rPr>
          <w:sz w:val="24"/>
          <w:szCs w:val="24"/>
        </w:rPr>
        <w:t>. 15. ed. Rio de Janeiro: Atlas, 2021.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NETO, J. F. C.; BRANDÃO, J. W. </w:t>
      </w:r>
      <w:r>
        <w:rPr>
          <w:b/>
          <w:sz w:val="24"/>
          <w:szCs w:val="24"/>
        </w:rPr>
        <w:t>Valuation Empresarial</w:t>
      </w:r>
      <w:r>
        <w:rPr>
          <w:sz w:val="24"/>
          <w:szCs w:val="24"/>
        </w:rPr>
        <w:t>. 1. ed. Rio de Janeiro: Editora Alta Books, 2018.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 xml:space="preserve">PÓVOA, A. </w:t>
      </w:r>
      <w:r>
        <w:rPr>
          <w:b/>
          <w:sz w:val="24"/>
          <w:szCs w:val="24"/>
        </w:rPr>
        <w:t>Valuation: Como Precificar Ações</w:t>
      </w:r>
      <w:r>
        <w:rPr>
          <w:sz w:val="24"/>
          <w:szCs w:val="24"/>
        </w:rPr>
        <w:t>. 3. ed. Rio de Janeiro: GEN Atlas, 2021.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SANTOS, J. O. </w:t>
      </w:r>
      <w:r>
        <w:rPr>
          <w:b/>
          <w:sz w:val="24"/>
          <w:szCs w:val="24"/>
        </w:rPr>
        <w:t>Valuation: Um Guia Prático</w:t>
      </w:r>
      <w:r>
        <w:rPr>
          <w:sz w:val="24"/>
          <w:szCs w:val="24"/>
        </w:rPr>
        <w:t>. 2. ed. Rio de Janeiro: Saraiva Uni, 2018.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SERRA, R. G. </w:t>
      </w:r>
      <w:r>
        <w:rPr>
          <w:b/>
          <w:sz w:val="24"/>
          <w:szCs w:val="24"/>
        </w:rPr>
        <w:t>Valuation: Guia Fundamental e Modelagem em Excel®</w:t>
      </w:r>
      <w:r>
        <w:rPr>
          <w:sz w:val="24"/>
          <w:szCs w:val="24"/>
        </w:rPr>
        <w:t>. 1. ed. Rio de Janeiro: Atlas, 2019.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SILVA, R. S. E.; SILVA, F. P.; SILVA, V. F. </w:t>
      </w:r>
      <w:r>
        <w:rPr>
          <w:b/>
          <w:sz w:val="24"/>
          <w:szCs w:val="24"/>
        </w:rPr>
        <w:t>Avaliação de Empresas</w:t>
      </w:r>
      <w:r>
        <w:rPr>
          <w:sz w:val="24"/>
          <w:szCs w:val="24"/>
        </w:rPr>
        <w:t>. Porto Alegre: SAGAH, 2020.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SEGA SAMMY HOLDINGS INC. Annual Report 2024. Tokyo: SEGA SAMMY Holdings, 2024. Disponível em: https://www.segasammy.co.jp/en/ir/library/.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br/>
        <w:t>NINTENDO CO., LTD. Consolidated Financial Highlights 2024. Kyoto: Nintendo Co., Ltd., 2024. Disponível em: https://www.nintendo.co.jp/ir/en/finance/.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br/>
        <w:t>CAPCOM CO., LTD. Annual Report 2024. Osaka: Capcom Co., Ltd., 2024. Disponível em: https://www.capcom.co.jp/ir/english/finance/.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TOKYO STOCK EXCHANGE. Stock Price Data. Tokyo: Japan Exchange Group, 2024. Disponível em: https://www.jpx.co.jp/english/.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br/>
        <w:t>BANK OF JAPAN. Long-term Interest Rate (10-year JGB). Tokyo: Bank of Japan, 2024. Disponível em: https://www.boj.or.jp/en/.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br/>
        <w:t>DAMODARAN, A. Country Risk Premiums. New York: NYU Stern School of Business, 2024. Disponível em: http://pages.stern.nyu.edu/~adamodar/.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br/>
        <w:t>JAPAN EXCHANGE GROUP. Nikkei 225 Historical Data. Tokyo: JPX, 2024. Disponível em: https://www.jpx.co.jp/. Acesso em: 10 dez. 2024.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Códigos disponíveis em: </w:t>
      </w:r>
      <w:hyperlink r:id="rId2">
        <w:r>
          <w:rPr>
            <w:rStyle w:val="Hyperlink"/>
            <w:sz w:val="24"/>
            <w:szCs w:val="24"/>
          </w:rPr>
          <w:t>https://github.com/mr-manrdrack/CarteiraPython</w:t>
        </w:r>
      </w:hyperlink>
      <w:r>
        <w:rPr>
          <w:sz w:val="24"/>
          <w:szCs w:val="24"/>
        </w:rPr>
        <w:br/>
      </w:r>
    </w:p>
    <w:p>
      <w:pPr>
        <w:pStyle w:val="Normal"/>
        <w:spacing w:lineRule="auto" w:line="240" w:before="240" w:after="120"/>
        <w:rPr>
          <w:rFonts w:ascii="Times New Roman" w:hAnsi="Times New Roman"/>
          <w:sz w:val="24"/>
          <w:szCs w:val="24"/>
        </w:rPr>
      </w:pPr>
      <w:bookmarkStart w:id="73" w:name="anexos"/>
      <w:r>
        <w:rPr>
          <w:b/>
          <w:sz w:val="24"/>
          <w:szCs w:val="24"/>
        </w:rPr>
        <w:t>ANEXOS</w:t>
      </w:r>
      <w:bookmarkEnd w:id="73"/>
    </w:p>
    <w:p>
      <w:pPr>
        <w:pStyle w:val="Normal"/>
        <w:spacing w:lineRule="auto" w:line="240" w:before="240" w:after="120"/>
        <w:rPr>
          <w:rFonts w:ascii="Times New Roman" w:hAnsi="Times New Roman"/>
          <w:sz w:val="24"/>
          <w:szCs w:val="24"/>
        </w:rPr>
      </w:pPr>
      <w:bookmarkStart w:id="74" w:name="anexo_a_demonstrações_financeiras_971f76"/>
      <w:r>
        <w:rPr>
          <w:rFonts w:eastAsia="Georgia" w:cs="Georgia"/>
          <w:b/>
          <w:sz w:val="24"/>
          <w:szCs w:val="24"/>
        </w:rPr>
        <w:t>ANEXO A - Demonstrações Financeiras Resumidas</w:t>
      </w:r>
      <w:bookmarkEnd w:id="74"/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SEGA SAMMY - RESUMO DEMONSTRAÇÕES (2022-2024)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Item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2022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2023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320.95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389.64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467.90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Operacional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32.04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46.79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57.87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37.03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45.94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33.06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EBITDA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51.94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60.24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58.61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Ativo Total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625.48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641.33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654.39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Patrimônio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322.80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347.51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357.70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Dívida Total (¥B)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158.92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162.35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161.84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A1 - Demonstrações Financeiras SEGA SAMMY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NINTENDO - RESUMO DEMONSTRAÇÕES (2022-2024)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Item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2022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2023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1,695.34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1,601.68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1,671.87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Operacional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592.76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504.38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528.94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477.69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432.77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490.60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EBITDA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603.29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611.92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698.75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Ativo Total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2,453.13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2,519.64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2,601.78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Patrimônio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2,067.59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2,267.12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2,607.46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Dívida Total (¥B)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16.77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17.43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18.92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A2 - Demonstrações Financeiras Nintendo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CAPCOM - RESUMO DEMONSTRAÇÕES (2022-2024)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Item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2022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2023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2024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Receita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110.05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125.93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152.41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Operacional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42.91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50.81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57.08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Lucro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32.55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36.74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43.37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EBITDA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47.76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54.63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63.56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Ativo Total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234.18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254.13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290.41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Patrimônio Líquido (¥B)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146.53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161.00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195.24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eastAsia="Georgia" w:cs="Georgia"/>
                <w:kern w:val="0"/>
                <w:sz w:val="20"/>
                <w:szCs w:val="20"/>
              </w:rPr>
              <w:t>Dívida Total (¥B)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1.95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2.14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2.33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TABELA A3 - Demonstrações Financeiras Capcom</w:t>
      </w:r>
    </w:p>
    <w:p>
      <w:pPr>
        <w:pStyle w:val="Normal"/>
        <w:spacing w:lineRule="auto" w:line="240" w:before="240" w:after="120"/>
        <w:rPr>
          <w:rFonts w:ascii="Times New Roman" w:hAnsi="Times New Roman"/>
          <w:sz w:val="24"/>
          <w:szCs w:val="24"/>
        </w:rPr>
      </w:pPr>
      <w:bookmarkStart w:id="75" w:name="anexo_b_metodologia_detalhada_de_5fc067"/>
      <w:r>
        <w:rPr>
          <w:rFonts w:eastAsia="Georgia" w:cs="Georgia"/>
          <w:b/>
          <w:sz w:val="24"/>
          <w:szCs w:val="24"/>
        </w:rPr>
        <w:t>ANEXO B - Metodologia Detalhada de Cálculos</w:t>
      </w:r>
      <w:bookmarkEnd w:id="75"/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Fórmula de Cálculo do WACC:</w:t>
      </w:r>
    </w:p>
    <w:p>
      <w:pPr>
        <w:pStyle w:val="Normal"/>
        <w:spacing w:lineRule="auto" w:line="240" w:before="0" w:after="21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Onde:</w:t>
      </w:r>
    </w:p>
    <w:p>
      <w:pPr>
        <w:pStyle w:val="Normal"/>
        <w:numPr>
          <w:ilvl w:val="0"/>
          <w:numId w:val="2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E/V = Proporção de patrimônio líquido</w:t>
      </w:r>
    </w:p>
    <w:p>
      <w:pPr>
        <w:pStyle w:val="Normal"/>
        <w:numPr>
          <w:ilvl w:val="0"/>
          <w:numId w:val="2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D/V = Proporção de dívida</w:t>
      </w:r>
    </w:p>
    <w:p>
      <w:pPr>
        <w:pStyle w:val="Normal"/>
        <w:numPr>
          <w:ilvl w:val="0"/>
          <w:numId w:val="2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Re = Custo do capital próprio (CAPM)</w:t>
      </w:r>
    </w:p>
    <w:p>
      <w:pPr>
        <w:pStyle w:val="Normal"/>
        <w:numPr>
          <w:ilvl w:val="0"/>
          <w:numId w:val="2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Rd = Custo da dívida</w:t>
      </w:r>
    </w:p>
    <w:p>
      <w:pPr>
        <w:pStyle w:val="Normal"/>
        <w:numPr>
          <w:ilvl w:val="0"/>
          <w:numId w:val="22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Tc = Taxa de imposto corporativo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Fórmula de Valuation por DCF:</w:t>
      </w:r>
    </w:p>
    <w:p>
      <w:pPr>
        <w:pStyle w:val="Normal"/>
        <w:spacing w:lineRule="auto" w:line="240" w:before="0" w:after="21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/>
          </m:nary>
          <m:f>
            <m:num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C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C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V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C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den>
          </m:f>
        </m:oMath>
      </m:oMathPara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Onde:</w:t>
      </w:r>
    </w:p>
    <w:p>
      <w:pPr>
        <w:pStyle w:val="Normal"/>
        <w:numPr>
          <w:ilvl w:val="0"/>
          <w:numId w:val="2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FCF_t = Fluxo de Caixa Livre no período t</w:t>
      </w:r>
    </w:p>
    <w:p>
      <w:pPr>
        <w:pStyle w:val="Normal"/>
        <w:numPr>
          <w:ilvl w:val="0"/>
          <w:numId w:val="2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WACC = Custo Médio Ponderado do Capital</w:t>
      </w:r>
    </w:p>
    <w:p>
      <w:pPr>
        <w:pStyle w:val="Normal"/>
        <w:numPr>
          <w:ilvl w:val="0"/>
          <w:numId w:val="2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TV = Valor Terminal (Gordon Growth Model)</w:t>
      </w:r>
    </w:p>
    <w:p>
      <w:pPr>
        <w:pStyle w:val="Normal"/>
        <w:numPr>
          <w:ilvl w:val="0"/>
          <w:numId w:val="2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n = Número de períodos</w:t>
      </w:r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Gordon Growth Model:</w:t>
      </w:r>
    </w:p>
    <w:p>
      <w:pPr>
        <w:pStyle w:val="Normal"/>
        <w:spacing w:lineRule="auto" w:line="240" w:before="0" w:after="21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g</m:t>
              </m:r>
            </m:den>
          </m:f>
        </m:oMath>
      </m:oMathPara>
    </w:p>
    <w:p>
      <w:pPr>
        <w:pStyle w:val="Normal"/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Onde:</w:t>
      </w:r>
    </w:p>
    <w:p>
      <w:pPr>
        <w:pStyle w:val="Normal"/>
        <w:numPr>
          <w:ilvl w:val="0"/>
          <w:numId w:val="24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FCF(n+1) = Fluxo de caixa no primeiro ano da perpetuidade</w:t>
      </w:r>
    </w:p>
    <w:p>
      <w:pPr>
        <w:pStyle w:val="Normal"/>
        <w:numPr>
          <w:ilvl w:val="0"/>
          <w:numId w:val="24"/>
        </w:numPr>
        <w:spacing w:lineRule="auto" w:line="240" w:before="0" w:after="210"/>
        <w:rPr>
          <w:rFonts w:ascii="Times New Roman" w:hAnsi="Times New Roman"/>
          <w:sz w:val="24"/>
          <w:szCs w:val="24"/>
        </w:rPr>
      </w:pPr>
      <w:r>
        <w:rPr>
          <w:rFonts w:eastAsia="Georgia" w:cs="Georgia"/>
          <w:sz w:val="24"/>
          <w:szCs w:val="24"/>
        </w:rPr>
        <w:t>g = Taxa de crescimento perpétuo (1,0% para economia madura do Japão)</w:t>
      </w:r>
    </w:p>
    <w:sectPr>
      <w:type w:val="nextPage"/>
      <w:pgSz w:w="12240" w:h="15840"/>
      <w:pgMar w:left="1775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pt-PT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210"/>
      <w:jc w:val="left"/>
    </w:pPr>
    <w:rPr>
      <w:rFonts w:ascii="Times New Roman" w:hAnsi="Times New Roman" w:eastAsia="" w:cs="" w:cstheme="minorBidi" w:eastAsiaTheme="minorHAnsi" w:hAnsiTheme="minorHAnsi"/>
      <w:color w:val="auto"/>
      <w:kern w:val="0"/>
      <w:sz w:val="21"/>
      <w:szCs w:val="22"/>
      <w:lang w:val="pt-PT" w:eastAsia="en-US" w:bidi="ar-SA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lineRule="auto" w:line="271" w:before="240" w:after="120"/>
      <w:outlineLvl w:val="0"/>
    </w:pPr>
    <w:rPr>
      <w:rFonts w:ascii="Times New Roman" w:hAnsi="Times New Roman" w:eastAsia="Georgia" w:cs="Georgia"/>
      <w:b/>
      <w:bCs/>
      <w:sz w:val="24"/>
      <w:szCs w:val="24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lineRule="auto" w:line="271" w:before="240" w:after="120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Heading2"/>
    <w:next w:val="BodyText"/>
    <w:autoRedefine/>
    <w:qFormat/>
    <w:pPr>
      <w:keepNext w:val="true"/>
      <w:widowControl/>
      <w:numPr>
        <w:ilvl w:val="2"/>
        <w:numId w:val="1"/>
      </w:numPr>
      <w:bidi w:val="0"/>
      <w:spacing w:lineRule="auto" w:line="271" w:before="140" w:after="120"/>
      <w:jc w:val="both"/>
      <w:outlineLvl w:val="2"/>
    </w:pPr>
    <w:rPr>
      <w:rFonts w:ascii="Times New Roman" w:hAnsi="Times New Roman" w:eastAsia="Microsoft YaHei" w:cs="Lucida Sans" w:hAnsiTheme="minorHAnsi"/>
      <w:b/>
      <w:bCs/>
      <w:sz w:val="24"/>
      <w:szCs w:val="24"/>
      <w:lang w:val="pt-PT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8690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407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123" w:leader="dot"/>
      </w:tabs>
      <w:ind w:hanging="0" w:left="567"/>
    </w:pPr>
    <w:rPr/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r-manrdrack/CarteiraPyth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LibreOffice/25.2.7.2$Windows_X86_64 LibreOffice_project/5cbfd1ab6520636bb5f7b99185aa69bd7456825d</Application>
  <AppVersion>15.0000</AppVersion>
  <Pages>21</Pages>
  <Words>3698</Words>
  <Characters>20213</Characters>
  <CharactersWithSpaces>23175</CharactersWithSpaces>
  <Paragraphs>636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2025-12-11T00:24:43Z</dcterms:created>
  <dc:creator>html-to-docx</dc:creator>
  <dc:description/>
  <cp:keywords>html-to-docx</cp:keywords>
  <dc:language>pt-BR</dc:language>
  <cp:lastModifiedBy/>
  <dcterms:modified xsi:type="dcterms:W3CDTF">2025-12-10T22:47:13Z</dcterms:modified>
  <cp:revision>12</cp:revision>
  <dc:subject/>
  <dc:title/>
</cp:coreProperties>
</file>