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هنوز مرج نشده است با این دستورپاک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LibreOffice/6.4.6.2$Linux_X86_64 LibreOffice_project/40$Build-2</Application>
  <Pages>10</Pages>
  <Words>2127</Words>
  <Characters>10284</Characters>
  <CharactersWithSpaces>12327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>Ahmad Ali</cp:lastModifiedBy>
  <dcterms:modified xsi:type="dcterms:W3CDTF">2021-01-29T05:28:00Z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