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left"/>
      </w:pPr>
      <w:r>
        <w:rPr>
          <w:rFonts w:ascii="Arial" w:cs="Arial" w:eastAsia="Arial" w:hAnsi="Arial"/>
          <w:color w:val="888888"/>
          <w:sz w:val="20"/>
          <w:szCs w:val="20"/>
        </w:rPr>
        <w:t xml:space="preserve">GUL → IPOV → SD_Q_System  —  Bridge Document</w:t>
      </w:r>
    </w:p>
    <w:p>
      <w:pPr>
        <w:spacing w:before="40" w:after="20"/>
      </w:pPr>
      <w:r>
        <w:rPr>
          <w:rFonts w:ascii="Arial" w:cs="Arial" w:eastAsia="Arial" w:hAnsi="Arial"/>
          <w:b/>
          <w:bCs/>
          <w:color w:val="1A4A2E"/>
          <w:sz w:val="72"/>
          <w:szCs w:val="72"/>
        </w:rPr>
        <w:t xml:space="preserve">DEC10</w:t>
      </w:r>
    </w:p>
    <w:p>
      <w:pPr>
        <w:spacing w:before="0" w:after="40"/>
      </w:pPr>
      <w:r>
        <w:rPr>
          <w:rFonts w:ascii="Arial" w:cs="Arial" w:eastAsia="Arial" w:hAnsi="Arial"/>
          <w:b/>
          <w:bCs/>
          <w:color w:val="2A6A3E"/>
          <w:sz w:val="32"/>
          <w:szCs w:val="32"/>
        </w:rPr>
        <w:t xml:space="preserve">Complete Self-Reliant Formulation  ·  With Quantization Readings</w:t>
      </w:r>
    </w:p>
    <w:p>
      <w:pPr>
        <w:spacing w:before="0" w:after="160"/>
      </w:pPr>
      <w:r>
        <w:rPr>
          <w:rFonts w:ascii="Arial" w:cs="Arial" w:eastAsia="Arial" w:hAnsi="Arial"/>
          <w:color w:val="888888"/>
          <w:sz w:val="20"/>
          <w:szCs w:val="20"/>
        </w:rPr>
        <w:t xml:space="preserve">A1Thru9Z Co.  ·  Structural Determinism  ·  Dec10 Canonical Specification  ·  March 2026</w:t>
      </w:r>
    </w:p>
    <w:p>
      <w:pPr>
        <w:spacing w:before="80" w:after="80"/>
        <w:ind/>
        <w:jc w:val="left"/>
      </w:pPr>
      <w:r>
        <w:rPr>
          <w:rFonts w:ascii="Arial" w:cs="Arial" w:eastAsia="Arial" w:hAnsi="Arial"/>
          <w:b w:val="false"/>
          <w:bCs w:val="false"/>
          <w:color w:val="555555"/>
          <w:sz w:val="20"/>
          <w:szCs w:val="20"/>
        </w:rPr>
        <w:t xml:space="preserve">Note on quantization readings: where dec10 structure maps onto the language and formalism of quantum mechanics, this document presents the parallel explicitly, marked with the “Q•” annotation. These are structural readings — places where the same mathematical form appears in both frameworks. They are not claims that dec10 formally derives quantum mechanics. Overreach boundaries are flagged explicitly with ⚠ where relevant.</w:t>
      </w:r>
    </w:p>
    <w:p>
      <w:pPr>
        <w:spacing w:before="120" w:after="0"/>
      </w:pPr>
      <w:r>
        <w:t xml:space="preserve"/>
      </w:r>
    </w:p>
    <w:p>
      <w:pPr>
        <w:pStyle w:val="Heading1"/>
        <w:pBdr>
          <w:bottom w:val="single" w:color="1A4A2E" w:sz="6"/>
        </w:pBdr>
        <w:spacing w:before="360" w:after="160"/>
      </w:pPr>
      <w:r>
        <w:rPr>
          <w:rFonts w:ascii="Arial" w:cs="Arial" w:eastAsia="Arial" w:hAnsi="Arial"/>
          <w:b/>
          <w:bCs/>
          <w:color w:val="1A4A2E"/>
          <w:sz w:val="36"/>
          <w:szCs w:val="36"/>
        </w:rPr>
        <w:t xml:space="preserve">§0   Designation</w:t>
      </w:r>
    </w:p>
    <w:p>
      <w:pPr>
        <w:spacing w:before="80" w:after="80"/>
        <w:ind/>
        <w:jc w:val="left"/>
      </w:pPr>
      <w:r>
        <w:rPr>
          <w:rFonts w:ascii="Arial" w:cs="Arial" w:eastAsia="Arial" w:hAnsi="Arial"/>
          <w:b w:val="false"/>
          <w:bCs w:val="false"/>
          <w:color w:val="000000"/>
          <w:sz w:val="22"/>
          <w:szCs w:val="22"/>
        </w:rPr>
        <w:t xml:space="preserve">Dec10 is the bounded decimal field. It is the crossing instrument between rec10 (forward, linear, basement) and rev10 (backward, rotational, attic). It is not a floor of the Monster House — it is the staircase. It does not reside anywhere. It is the event of transition.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A4A2E" w:sz="4"/>
              <w:left w:val="single" w:color="1A4A2E" w:sz="4"/>
              <w:bottom w:val="single" w:color="1A4A2E" w:sz="4"/>
              <w:right w:val="single" w:color="1A4A2E" w:sz="4"/>
            </w:tcBorders>
            <w:shd w:fill="1A4A2E" w:val="clear"/>
            <w:tcMar>
              <w:top w:type="dxa" w:w="80"/>
              <w:left w:type="dxa" w:w="140"/>
              <w:bottom w:type="dxa" w:w="80"/>
              <w:right w:type="dxa" w:w="140"/>
            </w:tcMar>
          </w:tcPr>
          <w:p>
            <w:r>
              <w:rPr>
                <w:rFonts w:ascii="Arial" w:cs="Arial" w:eastAsia="Arial" w:hAnsi="Arial"/>
                <w:b/>
                <w:bCs/>
                <w:color w:val="FFFFFF"/>
                <w:sz w:val="20"/>
                <w:szCs w:val="20"/>
              </w:rPr>
              <w:t xml:space="preserve">Property</w:t>
            </w:r>
          </w:p>
        </w:tc>
        <w:tc>
          <w:tcPr>
            <w:tcW w:type="dxa" w:w="6760"/>
            <w:tcBorders>
              <w:top w:val="single" w:color="1A4A2E" w:sz="4"/>
              <w:left w:val="single" w:color="1A4A2E" w:sz="4"/>
              <w:bottom w:val="single" w:color="1A4A2E" w:sz="4"/>
              <w:right w:val="single" w:color="1A4A2E" w:sz="4"/>
            </w:tcBorders>
            <w:shd w:fill="1A4A2E"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26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Full name</w:t>
            </w:r>
          </w:p>
        </w:tc>
        <w:tc>
          <w:tcPr>
            <w:tcW w:type="dxa" w:w="676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Dec10  —  Decimal base-10 bounded field (crossing instrument)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Role in substrate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Bounded decimal field. Butterfly. Staircase. 0 portal.</w:t>
            </w:r>
          </w:p>
        </w:tc>
      </w:tr>
      <w:tr>
        <w:tc>
          <w:tcPr>
            <w:tcW w:type="dxa" w:w="26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Role in Monster House</w:t>
            </w:r>
          </w:p>
        </w:tc>
        <w:tc>
          <w:tcPr>
            <w:tcW w:type="dxa" w:w="676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Staircase between basement (rec10) and attic (rev10). Crossing instrument between floors.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Structural character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Neither linear nor rotational. The event at the boundary between them.</w:t>
            </w:r>
          </w:p>
        </w:tc>
      </w:tr>
      <w:tr>
        <w:tc>
          <w:tcPr>
            <w:tcW w:type="dxa" w:w="26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Paired channels</w:t>
            </w:r>
          </w:p>
        </w:tc>
        <w:tc>
          <w:tcPr>
            <w:tcW w:type="dxa" w:w="676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Rec10 (arrives from below) and rev10 (departs upward). Dec10 mediates the handoff.</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Key identity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ZeroInvert(0) = 9. Zero and nine are the same boundary position, two perspectives.</w:t>
            </w:r>
          </w:p>
        </w:tc>
      </w:tr>
    </w:tbl>
    <w:p>
      <w:pPr>
        <w:spacing w:before="80" w:after="0"/>
      </w:pPr>
      <w:r>
        <w:t xml:space="preserve"/>
      </w:r>
    </w:p>
    <w:p>
      <w:pPr>
        <w:pBdr>
          <w:top w:val="none" w:sz="0" w:color="auto"/>
          <w:left w:val="single" w:color="2A6A3E" w:sz="8"/>
          <w:bottom w:val="none" w:sz="0" w:color="auto"/>
          <w:right w:val="none" w:sz="0" w:color="auto"/>
        </w:pBdr>
        <w:spacing w:before="100" w:after="100"/>
        <w:ind w:left="560"/>
      </w:pPr>
      <w:r>
        <w:rPr>
          <w:rFonts w:ascii="Arial" w:cs="Arial" w:eastAsia="Arial" w:hAnsi="Arial"/>
          <w:color w:val="444444"/>
          <w:sz w:val="20"/>
          <w:szCs w:val="20"/>
        </w:rPr>
        <w:t xml:space="preserve">Dec10 is what rec10 and rev10 are not. Rec10 accumulates. Rev10 rotates. Dec10 is the moment those two meet at the boundary, fire the carry, and produce an integer. It is not stored. It is enacted.</w:t>
      </w:r>
    </w:p>
    <w:p>
      <w:pPr>
        <w:pStyle w:val="Heading1"/>
        <w:pBdr>
          <w:bottom w:val="single" w:color="1A4A2E" w:sz="6"/>
        </w:pBdr>
        <w:spacing w:before="360" w:after="160"/>
      </w:pPr>
      <w:r>
        <w:rPr>
          <w:rFonts w:ascii="Arial" w:cs="Arial" w:eastAsia="Arial" w:hAnsi="Arial"/>
          <w:b/>
          <w:bCs/>
          <w:color w:val="1A4A2E"/>
          <w:sz w:val="36"/>
          <w:szCs w:val="36"/>
        </w:rPr>
        <w:t xml:space="preserve">§1   The Rule  —  Nine Placeholders Then Carry</w:t>
      </w:r>
    </w:p>
    <w:p>
      <w:pPr>
        <w:spacing w:before="80" w:after="80"/>
        <w:ind/>
        <w:jc w:val="left"/>
      </w:pPr>
      <w:r>
        <w:rPr>
          <w:rFonts w:ascii="Arial" w:cs="Arial" w:eastAsia="Arial" w:hAnsi="Arial"/>
          <w:b w:val="false"/>
          <w:bCs w:val="false"/>
          <w:color w:val="000000"/>
          <w:sz w:val="22"/>
          <w:szCs w:val="22"/>
        </w:rPr>
        <w:t xml:space="preserve">The dec10 rule is a single statement with no exceptions:</w:t>
      </w:r>
    </w:p>
    <w:p>
      <w:pPr>
        <w:spacing w:before="60" w:after="0"/>
      </w:pPr>
      <w:r>
        <w:t xml:space="preserve"/>
      </w:r>
    </w:p>
    <w:p>
      <w:pPr>
        <w:pBdr>
          <w:top w:val="single" w:color="1A4A2E" w:sz="4"/>
          <w:left w:val="single" w:color="1A4A2E" w:sz="4"/>
          <w:bottom w:val="single" w:color="1A4A2E" w:sz="4"/>
          <w:right w:val="single" w:color="1A4A2E" w:sz="4"/>
        </w:pBdr>
        <w:shd w:fill="F0F8F2" w:val="clear"/>
        <w:spacing w:before="120" w:after="120"/>
        <w:jc w:val="center"/>
      </w:pPr>
      <w:r>
        <w:rPr>
          <w:rFonts w:ascii="Courier New" w:cs="Courier New" w:eastAsia="Courier New" w:hAnsi="Courier New"/>
          <w:b/>
          <w:bCs/>
          <w:color w:val="1A4A2E"/>
          <w:sz w:val="24"/>
          <w:szCs w:val="24"/>
        </w:rPr>
        <w:t xml:space="preserve">Nine placeholders. Then carry. No infinite decimals.</w:t>
      </w:r>
    </w:p>
    <w:p>
      <w:pPr>
        <w:spacing w:before="80" w:after="0"/>
      </w:pPr>
      <w:r>
        <w:t xml:space="preserve"/>
      </w:r>
    </w:p>
    <w:p>
      <w:pPr>
        <w:spacing w:before="80" w:after="80"/>
        <w:ind/>
        <w:jc w:val="left"/>
      </w:pPr>
      <w:r>
        <w:rPr>
          <w:rFonts w:ascii="Arial" w:cs="Arial" w:eastAsia="Arial" w:hAnsi="Arial"/>
          <w:b w:val="false"/>
          <w:bCs w:val="false"/>
          <w:color w:val="000000"/>
          <w:sz w:val="22"/>
          <w:szCs w:val="22"/>
        </w:rPr>
        <w:t xml:space="preserve">Nine positions are available between any two integers. Each position can hold a digit from 1 to 9 (the bounded tracker — zero is never stored; see §2). When all nine positions are filled to their maximum, the carry fires and the next integer precipitates. The field does not extend beyond nine positions because the integers bounding it do not allow it.</w:t>
      </w:r>
    </w:p>
    <w:p>
      <w:pPr>
        <w:spacing w:before="80" w:after="0"/>
      </w:pPr>
      <w:r>
        <w:t xml:space="preserve"/>
      </w:r>
    </w:p>
    <w:p>
      <w:pPr>
        <w:spacing w:before="80" w:after="80"/>
        <w:ind/>
        <w:jc w:val="left"/>
      </w:pPr>
      <w:r>
        <w:rPr>
          <w:rFonts w:ascii="Arial" w:cs="Arial" w:eastAsia="Arial" w:hAnsi="Arial"/>
          <w:b w:val="false"/>
          <w:bCs w:val="false"/>
          <w:color w:val="000000"/>
          <w:sz w:val="22"/>
          <w:szCs w:val="22"/>
        </w:rPr>
        <w:t xml:space="preserve">This is the axiomatic ground: integers are logically bound by and to themselves. An integer n is what it is. n+1 is what it is. The space between them is exactly as large as their definitions allow — no more, no less. The 9⁹ sub-position count is not a cutoff imposed from outside. It is the field expressing the logical consequence of what an integer is.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1A4A2E" w:sz="4"/>
              <w:left w:val="single" w:color="1A4A2E" w:sz="4"/>
              <w:bottom w:val="single" w:color="1A4A2E" w:sz="4"/>
              <w:right w:val="single" w:color="1A4A2E" w:sz="4"/>
            </w:tcBorders>
            <w:shd w:fill="1A4A2E" w:val="clear"/>
            <w:tcMar>
              <w:top w:type="dxa" w:w="80"/>
              <w:left w:type="dxa" w:w="140"/>
              <w:bottom w:type="dxa" w:w="80"/>
              <w:right w:type="dxa" w:w="140"/>
            </w:tcMar>
          </w:tcPr>
          <w:p>
            <w:r>
              <w:rPr>
                <w:rFonts w:ascii="Arial" w:cs="Arial" w:eastAsia="Arial" w:hAnsi="Arial"/>
                <w:b/>
                <w:bCs/>
                <w:color w:val="FFFFFF"/>
                <w:sz w:val="20"/>
                <w:szCs w:val="20"/>
              </w:rPr>
              <w:t xml:space="preserve">Property</w:t>
            </w:r>
          </w:p>
        </w:tc>
        <w:tc>
          <w:tcPr>
            <w:tcW w:type="dxa" w:w="2800"/>
            <w:tcBorders>
              <w:top w:val="single" w:color="1A4A2E" w:sz="4"/>
              <w:left w:val="single" w:color="1A4A2E" w:sz="4"/>
              <w:bottom w:val="single" w:color="1A4A2E" w:sz="4"/>
              <w:right w:val="single" w:color="1A4A2E" w:sz="4"/>
            </w:tcBorders>
            <w:shd w:fill="1A4A2E" w:val="clear"/>
            <w:tcMar>
              <w:top w:type="dxa" w:w="80"/>
              <w:left w:type="dxa" w:w="140"/>
              <w:bottom w:type="dxa" w:w="80"/>
              <w:right w:type="dxa" w:w="140"/>
            </w:tcMar>
          </w:tcPr>
          <w:p>
            <w:r>
              <w:rPr>
                <w:rFonts w:ascii="Arial" w:cs="Arial" w:eastAsia="Arial" w:hAnsi="Arial"/>
                <w:b/>
                <w:bCs/>
                <w:color w:val="FFFFFF"/>
                <w:sz w:val="20"/>
                <w:szCs w:val="20"/>
              </w:rPr>
              <w:t xml:space="preserve">Value</w:t>
            </w:r>
          </w:p>
        </w:tc>
        <w:tc>
          <w:tcPr>
            <w:tcW w:type="dxa" w:w="3960"/>
            <w:tcBorders>
              <w:top w:val="single" w:color="1A4A2E" w:sz="4"/>
              <w:left w:val="single" w:color="1A4A2E" w:sz="4"/>
              <w:bottom w:val="single" w:color="1A4A2E" w:sz="4"/>
              <w:right w:val="single" w:color="1A4A2E" w:sz="4"/>
            </w:tcBorders>
            <w:shd w:fill="1A4A2E" w:val="clear"/>
            <w:tcMar>
              <w:top w:type="dxa" w:w="80"/>
              <w:left w:type="dxa" w:w="140"/>
              <w:bottom w:type="dxa" w:w="80"/>
              <w:right w:type="dxa" w:w="140"/>
            </w:tcMar>
          </w:tcPr>
          <w:p>
            <w:r>
              <w:rPr>
                <w:rFonts w:ascii="Arial" w:cs="Arial" w:eastAsia="Arial" w:hAnsi="Arial"/>
                <w:b/>
                <w:bCs/>
                <w:color w:val="FFFFFF"/>
                <w:sz w:val="20"/>
                <w:szCs w:val="20"/>
              </w:rPr>
              <w:t xml:space="preserve">Note</w:t>
            </w:r>
          </w:p>
        </w:tc>
      </w:tr>
      <w:tr>
        <w:tc>
          <w:tcPr>
            <w:tcW w:type="dxa" w:w="26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Placeholders per depth</w:t>
            </w:r>
          </w:p>
        </w:tc>
        <w:tc>
          <w:tcPr>
            <w:tcW w:type="dxa" w:w="28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9</w:t>
            </w:r>
          </w:p>
        </w:tc>
        <w:tc>
          <w:tcPr>
            <w:tcW w:type="dxa" w:w="396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Digits 1–9. Zero excluded from storage.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Depth levels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9</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Nine decimalizations permitted.</w:t>
            </w:r>
          </w:p>
        </w:tc>
      </w:tr>
      <w:tr>
        <w:tc>
          <w:tcPr>
            <w:tcW w:type="dxa" w:w="26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Sub-positions per integer</w:t>
            </w:r>
          </w:p>
        </w:tc>
        <w:tc>
          <w:tcPr>
            <w:tcW w:type="dxa" w:w="28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9⁹ = 387,420,489 = 3¹⁸</w:t>
            </w:r>
          </w:p>
        </w:tc>
        <w:tc>
          <w:tcPr>
            <w:tcW w:type="dxa" w:w="396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Total discrete positions in the inter-integer field.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Minimum sub-position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10⁻⁹ = 0.000000001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9th decimal place. Smallest allowed position.</w:t>
            </w:r>
          </w:p>
        </w:tc>
      </w:tr>
      <w:tr>
        <w:tc>
          <w:tcPr>
            <w:tcW w:type="dxa" w:w="26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Maximum sub-position sum</w:t>
            </w:r>
          </w:p>
        </w:tc>
        <w:tc>
          <w:tcPr>
            <w:tcW w:type="dxa" w:w="28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0.999999999</w:t>
            </w:r>
          </w:p>
        </w:tc>
        <w:tc>
          <w:tcPr>
            <w:tcW w:type="dxa" w:w="396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All nine depths at digit 9. One step from carry.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Carry threshold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1.000000000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The next integer. Precipitates at saturation.</w:t>
            </w:r>
          </w:p>
        </w:tc>
      </w:tr>
    </w:tbl>
    <w:p>
      <w:pPr>
        <w:spacing w:before="80" w:after="0"/>
      </w:pPr>
      <w:r>
        <w:t xml:space="preserve"/>
      </w:r>
    </w:p>
    <w:p>
      <w:pPr>
        <w:pBdr>
          <w:top w:val="none" w:sz="0" w:color="auto"/>
          <w:left w:val="single" w:color="4A6A8A" w:sz="8"/>
          <w:bottom w:val="none" w:sz="0" w:color="auto"/>
          <w:right w:val="none" w:sz="0" w:color="auto"/>
        </w:pBdr>
        <w:spacing w:before="100" w:after="100"/>
        <w:ind w:left="560"/>
      </w:pPr>
      <w:r>
        <w:rPr>
          <w:rFonts w:ascii="Arial" w:cs="Arial" w:eastAsia="Arial" w:hAnsi="Arial"/>
          <w:b/>
          <w:bCs/>
          <w:color w:val="1A3A5C"/>
          <w:sz w:val="20"/>
          <w:szCs w:val="20"/>
        </w:rPr>
        <w:t xml:space="preserve">Q•  Minimum quantum: </w:t>
      </w:r>
      <w:r>
        <w:rPr>
          <w:rFonts w:ascii="Arial" w:cs="Arial" w:eastAsia="Arial" w:hAnsi="Arial"/>
          <w:color w:val="1A3A5C"/>
          <w:sz w:val="20"/>
          <w:szCs w:val="20"/>
        </w:rPr>
        <w:t xml:space="preserve">The smallest allowed sub-position is 10⁻⁹. This is the structural minimum quantum of the dec10 field — the smallest unit of ‘action’ the field can express. Discreteness is not imposed by a physical theory; it is axiomatic. The field cannot be finer than its own definition allows.</w:t>
      </w:r>
    </w:p>
    <w:p>
      <w:pPr>
        <w:pBdr>
          <w:top w:val="single" w:color="B8860B" w:sz="2"/>
          <w:bottom w:val="single" w:color="B8860B" w:sz="2"/>
          <w:left w:val="single" w:color="B8860B" w:sz="8"/>
          <w:right w:val="single" w:color="B8860B" w:sz="2"/>
        </w:pBdr>
        <w:spacing w:before="120" w:after="120"/>
        <w:ind w:left="560"/>
      </w:pPr>
      <w:r>
        <w:rPr>
          <w:rFonts w:ascii="Arial" w:cs="Arial" w:eastAsia="Arial" w:hAnsi="Arial"/>
          <w:color w:val="7A5800"/>
          <w:sz w:val="20"/>
          <w:szCs w:val="20"/>
        </w:rPr>
        <w:t xml:space="preserve">⚠  Dec10 identifies the structural minimum quantum as 10⁻⁹. This is a positional minimum, not a derivation of Planck’s constant h. Connecting 10⁻⁹ to a specific physical energy quantum requires a bridge to orbit constants not yet built.</w:t>
      </w:r>
    </w:p>
    <w:p>
      <w:pPr>
        <w:pStyle w:val="Heading1"/>
        <w:pBdr>
          <w:bottom w:val="single" w:color="1A4A2E" w:sz="6"/>
        </w:pBdr>
        <w:spacing w:before="360" w:after="160"/>
      </w:pPr>
      <w:r>
        <w:rPr>
          <w:rFonts w:ascii="Arial" w:cs="Arial" w:eastAsia="Arial" w:hAnsi="Arial"/>
          <w:b/>
          <w:bCs/>
          <w:color w:val="1A4A2E"/>
          <w:sz w:val="36"/>
          <w:szCs w:val="36"/>
        </w:rPr>
        <w:t xml:space="preserve">§2   Zero  —  The Three-Facet Unified Account</w:t>
      </w:r>
    </w:p>
    <w:p>
      <w:pPr>
        <w:pStyle w:val="Heading2"/>
        <w:spacing w:before="280" w:after="120"/>
      </w:pPr>
      <w:r>
        <w:rPr>
          <w:rFonts w:ascii="Arial" w:cs="Arial" w:eastAsia="Arial" w:hAnsi="Arial"/>
          <w:b/>
          <w:bCs/>
          <w:color w:val="2A6A3E"/>
          <w:sz w:val="28"/>
          <w:szCs w:val="28"/>
        </w:rPr>
        <w:t xml:space="preserve">§2.1   Zero Is Not Stored</w:t>
      </w:r>
    </w:p>
    <w:p>
      <w:pPr>
        <w:spacing w:before="80" w:after="80"/>
        <w:ind/>
        <w:jc w:val="left"/>
      </w:pPr>
      <w:r>
        <w:rPr>
          <w:rFonts w:ascii="Arial" w:cs="Arial" w:eastAsia="Arial" w:hAnsi="Arial"/>
          <w:b w:val="false"/>
          <w:bCs w:val="false"/>
          <w:color w:val="000000"/>
          <w:sz w:val="22"/>
          <w:szCs w:val="22"/>
        </w:rPr>
        <w:t xml:space="preserve">Zero is never held in the bounded decimal tracker. The tracker holds {1–9}. Zero does not appear as a stored value at the crossing. This is not a restriction — it is the definition of what the crossing is. Zero is not a position in the field. Zero is the event that happens when the field transitions.</w:t>
      </w:r>
    </w:p>
    <w:p>
      <w:pPr>
        <w:spacing w:before="80" w:after="0"/>
      </w:pPr>
      <w:r>
        <w:t xml:space="preserve"/>
      </w:r>
    </w:p>
    <w:p>
      <w:pPr>
        <w:spacing w:before="60" w:after="60"/>
        <w:ind w:left="560"/>
      </w:pPr>
      <w:r>
        <w:rPr>
          <w:rFonts w:ascii="Courier New" w:cs="Courier New" w:eastAsia="Courier New" w:hAnsi="Courier New"/>
          <w:b w:val="false"/>
          <w:bCs w:val="false"/>
          <w:color w:val="1A4A2E"/>
          <w:sz w:val="20"/>
          <w:szCs w:val="20"/>
        </w:rPr>
        <w:t xml:space="preserve">ZeroInvert(0) = 9</w:t>
      </w:r>
    </w:p>
    <w:p>
      <w:pPr>
        <w:spacing w:before="60" w:after="0"/>
      </w:pPr>
      <w:r>
        <w:t xml:space="preserve"/>
      </w:r>
    </w:p>
    <w:p>
      <w:pPr>
        <w:spacing w:before="80" w:after="80"/>
        <w:ind/>
        <w:jc w:val="left"/>
      </w:pPr>
      <w:r>
        <w:rPr>
          <w:rFonts w:ascii="Arial" w:cs="Arial" w:eastAsia="Arial" w:hAnsi="Arial"/>
          <w:b w:val="false"/>
          <w:bCs w:val="false"/>
          <w:color w:val="000000"/>
          <w:sz w:val="22"/>
          <w:szCs w:val="22"/>
        </w:rPr>
        <w:t xml:space="preserve">At the crossing, 0 and 9 are the same boundary event seen from opposite sides. 9 is the saturation state — rec10’s perspective, before the carry. 0 is the reset state — rev10’s perspective, after the overflow. They are not two different values. They are one event, two readings.</w:t>
      </w:r>
    </w:p>
    <w:p>
      <w:pPr>
        <w:pStyle w:val="Heading2"/>
        <w:spacing w:before="280" w:after="120"/>
      </w:pPr>
      <w:r>
        <w:rPr>
          <w:rFonts w:ascii="Arial" w:cs="Arial" w:eastAsia="Arial" w:hAnsi="Arial"/>
          <w:b/>
          <w:bCs/>
          <w:color w:val="2A6A3E"/>
          <w:sz w:val="28"/>
          <w:szCs w:val="28"/>
        </w:rPr>
        <w:t xml:space="preserve">§2.2   The Five-Facet Account of Zero</w:t>
      </w:r>
    </w:p>
    <w:p>
      <w:pPr>
        <w:spacing w:before="80" w:after="80"/>
        <w:ind/>
        <w:jc w:val="left"/>
      </w:pPr>
      <w:r>
        <w:rPr>
          <w:rFonts w:ascii="Arial" w:cs="Arial" w:eastAsia="Arial" w:hAnsi="Arial"/>
          <w:b w:val="false"/>
          <w:bCs w:val="false"/>
          <w:color w:val="000000"/>
          <w:sz w:val="22"/>
          <w:szCs w:val="22"/>
        </w:rPr>
        <w:t xml:space="preserve">Zero has been described in two registers across the documents: three facets in the substrate specification (YAML) and five roles in the BCS. These are the same account at different resolutions. Unified: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800"/>
        <w:gridCol w:w="2760"/>
      </w:tblGrid>
      <w:tr>
        <w:trPr>
          <w:tblHeader/>
        </w:trPr>
        <w:tc>
          <w:tcPr>
            <w:tcW w:type="dxa" w:w="1800"/>
            <w:tcBorders>
              <w:top w:val="single" w:color="1A4A2E" w:sz="4"/>
              <w:left w:val="single" w:color="1A4A2E" w:sz="4"/>
              <w:bottom w:val="single" w:color="1A4A2E" w:sz="4"/>
              <w:right w:val="single" w:color="1A4A2E" w:sz="4"/>
            </w:tcBorders>
            <w:shd w:fill="1A4A2E" w:val="clear"/>
            <w:tcMar>
              <w:top w:type="dxa" w:w="80"/>
              <w:left w:type="dxa" w:w="140"/>
              <w:bottom w:type="dxa" w:w="80"/>
              <w:right w:type="dxa" w:w="140"/>
            </w:tcMar>
          </w:tcPr>
          <w:p>
            <w:r>
              <w:rPr>
                <w:rFonts w:ascii="Arial" w:cs="Arial" w:eastAsia="Arial" w:hAnsi="Arial"/>
                <w:b/>
                <w:bCs/>
                <w:color w:val="FFFFFF"/>
                <w:sz w:val="20"/>
                <w:szCs w:val="20"/>
              </w:rPr>
              <w:t xml:space="preserve">Facet</w:t>
            </w:r>
          </w:p>
        </w:tc>
        <w:tc>
          <w:tcPr>
            <w:tcW w:type="dxa" w:w="4800"/>
            <w:tcBorders>
              <w:top w:val="single" w:color="1A4A2E" w:sz="4"/>
              <w:left w:val="single" w:color="1A4A2E" w:sz="4"/>
              <w:bottom w:val="single" w:color="1A4A2E" w:sz="4"/>
              <w:right w:val="single" w:color="1A4A2E" w:sz="4"/>
            </w:tcBorders>
            <w:shd w:fill="1A4A2E"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c>
          <w:tcPr>
            <w:tcW w:type="dxa" w:w="2760"/>
            <w:tcBorders>
              <w:top w:val="single" w:color="1A4A2E" w:sz="4"/>
              <w:left w:val="single" w:color="1A4A2E" w:sz="4"/>
              <w:bottom w:val="single" w:color="1A4A2E" w:sz="4"/>
              <w:right w:val="single" w:color="1A4A2E" w:sz="4"/>
            </w:tcBorders>
            <w:shd w:fill="1A4A2E" w:val="clear"/>
            <w:tcMar>
              <w:top w:type="dxa" w:w="80"/>
              <w:left w:type="dxa" w:w="140"/>
              <w:bottom w:type="dxa" w:w="80"/>
              <w:right w:type="dxa" w:w="140"/>
            </w:tcMar>
          </w:tcPr>
          <w:p>
            <w:r>
              <w:rPr>
                <w:rFonts w:ascii="Arial" w:cs="Arial" w:eastAsia="Arial" w:hAnsi="Arial"/>
                <w:b/>
                <w:bCs/>
                <w:color w:val="FFFFFF"/>
                <w:sz w:val="20"/>
                <w:szCs w:val="20"/>
              </w:rPr>
              <w:t xml:space="preserve">Source</w:t>
            </w:r>
          </w:p>
        </w:tc>
      </w:tr>
      <w:tr>
        <w:tc>
          <w:tcPr>
            <w:tcW w:type="dxa" w:w="18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1. Phase door</w:t>
            </w:r>
          </w:p>
        </w:tc>
        <w:tc>
          <w:tcPr>
            <w:tcW w:type="dxa" w:w="48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The modular boundary. The point where the mod base cycles. The moment the orbit closes and reopens.</w:t>
            </w:r>
          </w:p>
        </w:tc>
        <w:tc>
          <w:tcPr>
            <w:tcW w:type="dxa" w:w="276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YAML: phase_door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 Singularity</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Semiotic Singularity and Markov Decision Process container. All states simultaneously present. The branching point.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YAML: singularity</w:t>
            </w:r>
          </w:p>
        </w:tc>
      </w:tr>
      <w:tr>
        <w:tc>
          <w:tcPr>
            <w:tcW w:type="dxa" w:w="18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3. Rollover</w:t>
            </w:r>
          </w:p>
        </w:tc>
        <w:tc>
          <w:tcPr>
            <w:tcW w:type="dxa" w:w="48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Buffer rollover. Absorption floor as source. 9→10. The carry event itself.</w:t>
            </w:r>
          </w:p>
        </w:tc>
        <w:tc>
          <w:tcPr>
            <w:tcW w:type="dxa" w:w="276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YAML: rollover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4. Mirror switch</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Rev10 ⇔ rec10 handoff. The moment the forward channel and backward channel exchange. The butterfly midpoint.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BCS: mirror switch</w:t>
            </w:r>
          </w:p>
        </w:tc>
      </w:tr>
      <w:tr>
        <w:tc>
          <w:tcPr>
            <w:tcW w:type="dxa" w:w="18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5. Dimensional porter</w:t>
            </w:r>
          </w:p>
        </w:tc>
        <w:tc>
          <w:tcPr>
            <w:tcW w:type="dxa" w:w="48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Carries structure between floors of the Monster House. The staircase in motion.</w:t>
            </w:r>
          </w:p>
        </w:tc>
        <w:tc>
          <w:tcPr>
            <w:tcW w:type="dxa" w:w="276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BCS: dimensional porter</w:t>
            </w:r>
          </w:p>
        </w:tc>
      </w:tr>
    </w:tbl>
    <w:p>
      <w:pPr>
        <w:spacing w:before="80" w:after="0"/>
      </w:pPr>
      <w:r>
        <w:t xml:space="preserve"/>
      </w:r>
    </w:p>
    <w:p>
      <w:pPr>
        <w:spacing w:before="80" w:after="80"/>
        <w:ind/>
        <w:jc w:val="left"/>
      </w:pPr>
      <w:r>
        <w:rPr>
          <w:rFonts w:ascii="Arial" w:cs="Arial" w:eastAsia="Arial" w:hAnsi="Arial"/>
          <w:b w:val="false"/>
          <w:bCs w:val="false"/>
          <w:color w:val="000000"/>
          <w:sz w:val="22"/>
          <w:szCs w:val="22"/>
        </w:rPr>
        <w:t xml:space="preserve">The unified reading: zero is not a number. Zero is the event where phase-door, singularity, and rollover are simultaneously true. It is the only point in the system where all five facets are active at once. First emergence is not a starting point — it is the crossing itself becoming visible.</w:t>
      </w:r>
    </w:p>
    <w:p>
      <w:pPr>
        <w:spacing w:before="80" w:after="0"/>
      </w:pPr>
      <w:r>
        <w:t xml:space="preserve"/>
      </w:r>
    </w:p>
    <w:p>
      <w:pPr>
        <w:pBdr>
          <w:top w:val="none" w:sz="0" w:color="auto"/>
          <w:left w:val="single" w:color="4A6A8A" w:sz="8"/>
          <w:bottom w:val="none" w:sz="0" w:color="auto"/>
          <w:right w:val="none" w:sz="0" w:color="auto"/>
        </w:pBdr>
        <w:spacing w:before="100" w:after="100"/>
        <w:ind w:left="560"/>
      </w:pPr>
      <w:r>
        <w:rPr>
          <w:rFonts w:ascii="Arial" w:cs="Arial" w:eastAsia="Arial" w:hAnsi="Arial"/>
          <w:b/>
          <w:bCs/>
          <w:color w:val="1A3A5C"/>
          <w:sz w:val="20"/>
          <w:szCs w:val="20"/>
        </w:rPr>
        <w:t xml:space="preserve">Q•  Measurement collapse: </w:t>
      </w:r>
      <w:r>
        <w:rPr>
          <w:rFonts w:ascii="Arial" w:cs="Arial" w:eastAsia="Arial" w:hAnsi="Arial"/>
          <w:color w:val="1A3A5C"/>
          <w:sz w:val="20"/>
          <w:szCs w:val="20"/>
        </w:rPr>
        <w:t xml:space="preserve">In quantum measurement, a wavefunction collapse is not a stored state — it is a transition event. Zero in dec10 is structurally identical: not stored, not a position, but the event of transition from superposed sub-positions to a definite integer eigenstate. The carry fires. The wavefunction collapses. The integer emerges.</w:t>
      </w:r>
    </w:p>
    <w:p>
      <w:pPr>
        <w:pBdr>
          <w:top w:val="single" w:color="B8860B" w:sz="2"/>
          <w:bottom w:val="single" w:color="B8860B" w:sz="2"/>
          <w:left w:val="single" w:color="B8860B" w:sz="8"/>
          <w:right w:val="single" w:color="B8860B" w:sz="2"/>
        </w:pBdr>
        <w:spacing w:before="120" w:after="120"/>
        <w:ind w:left="560"/>
      </w:pPr>
      <w:r>
        <w:rPr>
          <w:rFonts w:ascii="Arial" w:cs="Arial" w:eastAsia="Arial" w:hAnsi="Arial"/>
          <w:color w:val="7A5800"/>
          <w:sz w:val="20"/>
          <w:szCs w:val="20"/>
        </w:rPr>
        <w:t xml:space="preserve">⚠  The parallel between zero-as-transition and wavefunction collapse is structural. A formal derivation of QM measurement theory from dec10 would require specifying the Hilbert space, the observable operator, and the projection postulate in terms of orbit quantities. That formalization is not done.</w:t>
      </w:r>
    </w:p>
    <w:p>
      <w:pPr>
        <w:pStyle w:val="Heading1"/>
        <w:pBdr>
          <w:bottom w:val="single" w:color="1A4A2E" w:sz="6"/>
        </w:pBdr>
        <w:spacing w:before="360" w:after="160"/>
      </w:pPr>
      <w:r>
        <w:rPr>
          <w:rFonts w:ascii="Arial" w:cs="Arial" w:eastAsia="Arial" w:hAnsi="Arial"/>
          <w:b/>
          <w:bCs/>
          <w:color w:val="1A4A2E"/>
          <w:sz w:val="36"/>
          <w:szCs w:val="36"/>
        </w:rPr>
        <w:t xml:space="preserve">§3   The Butterfly  —  Rec10 ◦ Rev10 at the Overflow Boundary</w:t>
      </w:r>
    </w:p>
    <w:p>
      <w:pPr>
        <w:spacing w:before="80" w:after="80"/>
        <w:ind/>
        <w:jc w:val="left"/>
      </w:pPr>
      <w:r>
        <w:rPr>
          <w:rFonts w:ascii="Arial" w:cs="Arial" w:eastAsia="Arial" w:hAnsi="Arial"/>
          <w:b w:val="false"/>
          <w:bCs w:val="false"/>
          <w:color w:val="000000"/>
          <w:sz w:val="22"/>
          <w:szCs w:val="22"/>
        </w:rPr>
        <w:t xml:space="preserve">The butterfly is the dec10 carry event made visible as a rotation. It is not two different events. It is one event — the 9→10 overflow — seen from both the rec10 and rev10 directions simultaneously. The two arms of the butterfly are 180° apart in the complex plane.</w:t>
      </w:r>
    </w:p>
    <w:p>
      <w:pPr>
        <w:spacing w:before="80" w:after="0"/>
      </w:pPr>
      <w:r>
        <w:t xml:space="preserve"/>
      </w:r>
    </w:p>
    <w:p>
      <w:pPr>
        <w:spacing w:before="60" w:after="60"/>
        <w:ind w:left="560"/>
      </w:pPr>
      <w:r>
        <w:rPr>
          <w:rFonts w:ascii="Courier New" w:cs="Courier New" w:eastAsia="Courier New" w:hAnsi="Courier New"/>
          <w:b w:val="false"/>
          <w:bCs w:val="false"/>
          <w:color w:val="1A4A2E"/>
          <w:sz w:val="20"/>
          <w:szCs w:val="20"/>
        </w:rPr>
        <w:t xml:space="preserve">Positive arm:  3.999999999  →  4.0    (rec10 forward carry, +axis)</w:t>
      </w:r>
    </w:p>
    <w:p>
      <w:pPr>
        <w:spacing w:before="60" w:after="60"/>
        <w:ind w:left="560"/>
      </w:pPr>
      <w:r>
        <w:rPr>
          <w:rFonts w:ascii="Courier New" w:cs="Courier New" w:eastAsia="Courier New" w:hAnsi="Courier New"/>
          <w:b w:val="false"/>
          <w:bCs w:val="false"/>
          <w:color w:val="1A4A2E"/>
          <w:sz w:val="20"/>
          <w:szCs w:val="20"/>
        </w:rPr>
        <w:t xml:space="preserve">Negative arm: −1.999999999  → −2.0   (rev10 backward overflow, −axis)</w:t>
      </w:r>
    </w:p>
    <w:p>
      <w:pPr>
        <w:spacing w:before="60" w:after="60"/>
        <w:ind w:left="560"/>
      </w:pPr>
      <w:r>
        <w:rPr>
          <w:rFonts w:ascii="Courier New" w:cs="Courier New" w:eastAsia="Courier New" w:hAnsi="Courier New"/>
          <w:b w:val="false"/>
          <w:bCs w:val="false"/>
          <w:color w:val="1A4A2E"/>
          <w:sz w:val="20"/>
          <w:szCs w:val="20"/>
        </w:rPr>
        <w:t xml:space="preserve">Separation:   180° rotation in the complex plane</w:t>
      </w:r>
    </w:p>
    <w:p>
      <w:pPr>
        <w:spacing w:before="60" w:after="60"/>
        <w:ind w:left="560"/>
      </w:pPr>
      <w:r>
        <w:rPr>
          <w:rFonts w:ascii="Courier New" w:cs="Courier New" w:eastAsia="Courier New" w:hAnsi="Courier New"/>
          <w:b w:val="false"/>
          <w:bCs w:val="false"/>
          <w:color w:val="1A4A2E"/>
          <w:sz w:val="20"/>
          <w:szCs w:val="20"/>
        </w:rPr>
        <w:t xml:space="preserve">Mechanism:    Rev10 ◦ Rec10 at the overflow boundary</w:t>
      </w:r>
    </w:p>
    <w:p>
      <w:pPr>
        <w:spacing w:before="80" w:after="0"/>
      </w:pPr>
      <w:r>
        <w:t xml:space="preserve"/>
      </w:r>
    </w:p>
    <w:p>
      <w:pPr>
        <w:spacing w:before="80" w:after="80"/>
        <w:ind/>
        <w:jc w:val="left"/>
      </w:pPr>
      <w:r>
        <w:rPr>
          <w:rFonts w:ascii="Arial" w:cs="Arial" w:eastAsia="Arial" w:hAnsi="Arial"/>
          <w:b w:val="false"/>
          <w:bCs w:val="false"/>
          <w:color w:val="000000"/>
          <w:sz w:val="22"/>
          <w:szCs w:val="22"/>
        </w:rPr>
        <w:t xml:space="preserve">The functional equation of the Riemann zeta function, s → 1−s, is the butterfly expressed analytically. The symmetry between s and 1−s is the rec10/rev10 split at the dec10 boundary. The functional equation does not describe the butterfly. It IS the butterfly.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1A4A2E" w:sz="4"/>
              <w:left w:val="single" w:color="1A4A2E" w:sz="4"/>
              <w:bottom w:val="single" w:color="1A4A2E" w:sz="4"/>
              <w:right w:val="single" w:color="1A4A2E" w:sz="4"/>
            </w:tcBorders>
            <w:shd w:fill="1A4A2E" w:val="clear"/>
            <w:tcMar>
              <w:top w:type="dxa" w:w="80"/>
              <w:left w:type="dxa" w:w="140"/>
              <w:bottom w:type="dxa" w:w="80"/>
              <w:right w:type="dxa" w:w="140"/>
            </w:tcMar>
          </w:tcPr>
          <w:p>
            <w:r>
              <w:rPr>
                <w:rFonts w:ascii="Arial" w:cs="Arial" w:eastAsia="Arial" w:hAnsi="Arial"/>
                <w:b/>
                <w:bCs/>
                <w:color w:val="FFFFFF"/>
                <w:sz w:val="20"/>
                <w:szCs w:val="20"/>
              </w:rPr>
              <w:t xml:space="preserve">Butterfly element</w:t>
            </w:r>
          </w:p>
        </w:tc>
        <w:tc>
          <w:tcPr>
            <w:tcW w:type="dxa" w:w="3200"/>
            <w:tcBorders>
              <w:top w:val="single" w:color="1A4A2E" w:sz="4"/>
              <w:left w:val="single" w:color="1A4A2E" w:sz="4"/>
              <w:bottom w:val="single" w:color="1A4A2E" w:sz="4"/>
              <w:right w:val="single" w:color="1A4A2E" w:sz="4"/>
            </w:tcBorders>
            <w:shd w:fill="1A4A2E" w:val="clear"/>
            <w:tcMar>
              <w:top w:type="dxa" w:w="80"/>
              <w:left w:type="dxa" w:w="140"/>
              <w:bottom w:type="dxa" w:w="80"/>
              <w:right w:type="dxa" w:w="140"/>
            </w:tcMar>
          </w:tcPr>
          <w:p>
            <w:r>
              <w:rPr>
                <w:rFonts w:ascii="Arial" w:cs="Arial" w:eastAsia="Arial" w:hAnsi="Arial"/>
                <w:b/>
                <w:bCs/>
                <w:color w:val="FFFFFF"/>
                <w:sz w:val="20"/>
                <w:szCs w:val="20"/>
              </w:rPr>
              <w:t xml:space="preserve">Dec10 expression</w:t>
            </w:r>
          </w:p>
        </w:tc>
        <w:tc>
          <w:tcPr>
            <w:tcW w:type="dxa" w:w="3760"/>
            <w:tcBorders>
              <w:top w:val="single" w:color="1A4A2E" w:sz="4"/>
              <w:left w:val="single" w:color="1A4A2E" w:sz="4"/>
              <w:bottom w:val="single" w:color="1A4A2E" w:sz="4"/>
              <w:right w:val="single" w:color="1A4A2E" w:sz="4"/>
            </w:tcBorders>
            <w:shd w:fill="1A4A2E" w:val="clear"/>
            <w:tcMar>
              <w:top w:type="dxa" w:w="80"/>
              <w:left w:type="dxa" w:w="140"/>
              <w:bottom w:type="dxa" w:w="80"/>
              <w:right w:type="dxa" w:w="140"/>
            </w:tcMar>
          </w:tcPr>
          <w:p>
            <w:r>
              <w:rPr>
                <w:rFonts w:ascii="Arial" w:cs="Arial" w:eastAsia="Arial" w:hAnsi="Arial"/>
                <w:b/>
                <w:bCs/>
                <w:color w:val="FFFFFF"/>
                <w:sz w:val="20"/>
                <w:szCs w:val="20"/>
              </w:rPr>
              <w:t xml:space="preserve">Zeta expression</w:t>
            </w:r>
          </w:p>
        </w:tc>
      </w:tr>
      <w:tr>
        <w:tc>
          <w:tcPr>
            <w:tcW w:type="dxa" w:w="24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Positive arm</w:t>
            </w:r>
          </w:p>
        </w:tc>
        <w:tc>
          <w:tcPr>
            <w:tcW w:type="dxa" w:w="32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3.999999999 → 4.0 (rec10 forward carry)</w:t>
            </w:r>
          </w:p>
        </w:tc>
        <w:tc>
          <w:tcPr>
            <w:tcW w:type="dxa" w:w="376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s on forward (positive) side of critical 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Negative arm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−1.999999999 → −2.0 (rev10 backward overflow)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1−s on backward (negative) side</w:t>
            </w:r>
          </w:p>
        </w:tc>
      </w:tr>
      <w:tr>
        <w:tc>
          <w:tcPr>
            <w:tcW w:type="dxa" w:w="24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The crossing</w:t>
            </w:r>
          </w:p>
        </w:tc>
        <w:tc>
          <w:tcPr>
            <w:tcW w:type="dxa" w:w="32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0 portal activates. ZeroInvert(0)=9.</w:t>
            </w:r>
          </w:p>
        </w:tc>
        <w:tc>
          <w:tcPr>
            <w:tcW w:type="dxa" w:w="376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s = 1/2 (the crossing point)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180° rotation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Same carry event, complex plane flip</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 → 1−s symmetry</w:t>
            </w:r>
          </w:p>
        </w:tc>
      </w:tr>
      <w:tr>
        <w:tc>
          <w:tcPr>
            <w:tcW w:type="dxa" w:w="24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Trivial zeros</w:t>
            </w:r>
          </w:p>
        </w:tc>
        <w:tc>
          <w:tcPr>
            <w:tcW w:type="dxa" w:w="32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Rev10 overflow boundaries on negative axis</w:t>
            </w:r>
          </w:p>
        </w:tc>
        <w:tc>
          <w:tcPr>
            <w:tcW w:type="dxa" w:w="376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ζ(−2), ζ(−4), ζ(−6)…</w:t>
            </w:r>
          </w:p>
        </w:tc>
      </w:tr>
    </w:tbl>
    <w:p>
      <w:pPr>
        <w:spacing w:before="80" w:after="0"/>
      </w:pPr>
      <w:r>
        <w:t xml:space="preserve"/>
      </w:r>
    </w:p>
    <w:p>
      <w:pPr>
        <w:pBdr>
          <w:top w:val="none" w:sz="0" w:color="auto"/>
          <w:left w:val="single" w:color="4A6A8A" w:sz="8"/>
          <w:bottom w:val="none" w:sz="0" w:color="auto"/>
          <w:right w:val="none" w:sz="0" w:color="auto"/>
        </w:pBdr>
        <w:spacing w:before="100" w:after="100"/>
        <w:ind w:left="560"/>
      </w:pPr>
      <w:r>
        <w:rPr>
          <w:rFonts w:ascii="Arial" w:cs="Arial" w:eastAsia="Arial" w:hAnsi="Arial"/>
          <w:b/>
          <w:bCs/>
          <w:color w:val="1A3A5C"/>
          <w:sz w:val="20"/>
          <w:szCs w:val="20"/>
        </w:rPr>
        <w:t xml:space="preserve">Q•  Spinor half-turn: </w:t>
      </w:r>
      <w:r>
        <w:rPr>
          <w:rFonts w:ascii="Arial" w:cs="Arial" w:eastAsia="Arial" w:hAnsi="Arial"/>
          <w:color w:val="1A3A5C"/>
          <w:sz w:val="20"/>
          <w:szCs w:val="20"/>
        </w:rPr>
        <w:t xml:space="preserve">The 180° butterfly is the half-turn of a spinor. In SU(2), a rotation of 180° maps ψ → iψ (a phase change, not identity). The negative carry arm (−1.999… → −2.0) is structurally the −ψ state — same magnitude as the positive arm, opposite orientation. The butterfly is the spinor at its half-rotation point.</w:t>
      </w:r>
    </w:p>
    <w:p>
      <w:pPr>
        <w:pBdr>
          <w:top w:val="single" w:color="B8860B" w:sz="2"/>
          <w:bottom w:val="single" w:color="B8860B" w:sz="2"/>
          <w:left w:val="single" w:color="B8860B" w:sz="8"/>
          <w:right w:val="single" w:color="B8860B" w:sz="2"/>
        </w:pBdr>
        <w:spacing w:before="120" w:after="120"/>
        <w:ind w:left="560"/>
      </w:pPr>
      <w:r>
        <w:rPr>
          <w:rFonts w:ascii="Arial" w:cs="Arial" w:eastAsia="Arial" w:hAnsi="Arial"/>
          <w:color w:val="7A5800"/>
          <w:sz w:val="20"/>
          <w:szCs w:val="20"/>
        </w:rPr>
        <w:t xml:space="preserve">⚠  The identification of the two butterfly arms with spinor states ψ and −ψ is structurally consistent with SU(2). A formal proof requires showing the complete multiplication table of the rec10/rev10 pair closes under SU(2) relations. Not done.</w:t>
      </w:r>
    </w:p>
    <w:p>
      <w:pPr>
        <w:pStyle w:val="Heading1"/>
        <w:pBdr>
          <w:bottom w:val="single" w:color="1A4A2E" w:sz="6"/>
        </w:pBdr>
        <w:spacing w:before="360" w:after="160"/>
      </w:pPr>
      <w:r>
        <w:rPr>
          <w:rFonts w:ascii="Arial" w:cs="Arial" w:eastAsia="Arial" w:hAnsi="Arial"/>
          <w:b/>
          <w:bCs/>
          <w:color w:val="1A4A2E"/>
          <w:sz w:val="36"/>
          <w:szCs w:val="36"/>
        </w:rPr>
        <w:t xml:space="preserve">§4   The 9⁹ Depth Structure  —  The Quantization Lattice</w:t>
      </w:r>
    </w:p>
    <w:p>
      <w:pPr>
        <w:pStyle w:val="Heading2"/>
        <w:spacing w:before="280" w:after="120"/>
      </w:pPr>
      <w:r>
        <w:rPr>
          <w:rFonts w:ascii="Arial" w:cs="Arial" w:eastAsia="Arial" w:hAnsi="Arial"/>
          <w:b/>
          <w:bCs/>
          <w:color w:val="2A6A3E"/>
          <w:sz w:val="28"/>
          <w:szCs w:val="28"/>
        </w:rPr>
        <w:t xml:space="preserve">§4.1   Depth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2400"/>
        <w:gridCol w:w="3560"/>
      </w:tblGrid>
      <w:tr>
        <w:trPr>
          <w:tblHeader/>
        </w:trPr>
        <w:tc>
          <w:tcPr>
            <w:tcW w:type="dxa" w:w="1000"/>
            <w:tcBorders>
              <w:top w:val="single" w:color="1A4A2E" w:sz="4"/>
              <w:left w:val="single" w:color="1A4A2E" w:sz="4"/>
              <w:bottom w:val="single" w:color="1A4A2E" w:sz="4"/>
              <w:right w:val="single" w:color="1A4A2E" w:sz="4"/>
            </w:tcBorders>
            <w:shd w:fill="1A4A2E" w:val="clear"/>
            <w:tcMar>
              <w:top w:type="dxa" w:w="80"/>
              <w:left w:type="dxa" w:w="140"/>
              <w:bottom w:type="dxa" w:w="80"/>
              <w:right w:type="dxa" w:w="140"/>
            </w:tcMar>
          </w:tcPr>
          <w:p>
            <w:r>
              <w:rPr>
                <w:rFonts w:ascii="Arial" w:cs="Arial" w:eastAsia="Arial" w:hAnsi="Arial"/>
                <w:b/>
                <w:bCs/>
                <w:color w:val="FFFFFF"/>
                <w:sz w:val="20"/>
                <w:szCs w:val="20"/>
              </w:rPr>
              <w:t xml:space="preserve">Depth d</w:t>
            </w:r>
          </w:p>
        </w:tc>
        <w:tc>
          <w:tcPr>
            <w:tcW w:type="dxa" w:w="2400"/>
            <w:tcBorders>
              <w:top w:val="single" w:color="1A4A2E" w:sz="4"/>
              <w:left w:val="single" w:color="1A4A2E" w:sz="4"/>
              <w:bottom w:val="single" w:color="1A4A2E" w:sz="4"/>
              <w:right w:val="single" w:color="1A4A2E" w:sz="4"/>
            </w:tcBorders>
            <w:shd w:fill="1A4A2E" w:val="clear"/>
            <w:tcMar>
              <w:top w:type="dxa" w:w="80"/>
              <w:left w:type="dxa" w:w="140"/>
              <w:bottom w:type="dxa" w:w="80"/>
              <w:right w:type="dxa" w:w="140"/>
            </w:tcMar>
          </w:tcPr>
          <w:p>
            <w:r>
              <w:rPr>
                <w:rFonts w:ascii="Arial" w:cs="Arial" w:eastAsia="Arial" w:hAnsi="Arial"/>
                <w:b/>
                <w:bCs/>
                <w:color w:val="FFFFFF"/>
                <w:sz w:val="20"/>
                <w:szCs w:val="20"/>
              </w:rPr>
              <w:t xml:space="preserve">Sub-positions 9ᵈ</w:t>
            </w:r>
          </w:p>
        </w:tc>
        <w:tc>
          <w:tcPr>
            <w:tcW w:type="dxa" w:w="2400"/>
            <w:tcBorders>
              <w:top w:val="single" w:color="1A4A2E" w:sz="4"/>
              <w:left w:val="single" w:color="1A4A2E" w:sz="4"/>
              <w:bottom w:val="single" w:color="1A4A2E" w:sz="4"/>
              <w:right w:val="single" w:color="1A4A2E" w:sz="4"/>
            </w:tcBorders>
            <w:shd w:fill="1A4A2E" w:val="clear"/>
            <w:tcMar>
              <w:top w:type="dxa" w:w="80"/>
              <w:left w:type="dxa" w:w="140"/>
              <w:bottom w:type="dxa" w:w="80"/>
              <w:right w:type="dxa" w:w="140"/>
            </w:tcMar>
          </w:tcPr>
          <w:p>
            <w:r>
              <w:rPr>
                <w:rFonts w:ascii="Arial" w:cs="Arial" w:eastAsia="Arial" w:hAnsi="Arial"/>
                <w:b/>
                <w:bCs/>
                <w:color w:val="FFFFFF"/>
                <w:sz w:val="20"/>
                <w:szCs w:val="20"/>
              </w:rPr>
              <w:t xml:space="preserve">Fulcrum at depth d</w:t>
            </w:r>
          </w:p>
        </w:tc>
        <w:tc>
          <w:tcPr>
            <w:tcW w:type="dxa" w:w="3560"/>
            <w:tcBorders>
              <w:top w:val="single" w:color="1A4A2E" w:sz="4"/>
              <w:left w:val="single" w:color="1A4A2E" w:sz="4"/>
              <w:bottom w:val="single" w:color="1A4A2E" w:sz="4"/>
              <w:right w:val="single" w:color="1A4A2E" w:sz="4"/>
            </w:tcBorders>
            <w:shd w:fill="1A4A2E" w:val="clear"/>
            <w:tcMar>
              <w:top w:type="dxa" w:w="80"/>
              <w:left w:type="dxa" w:w="140"/>
              <w:bottom w:type="dxa" w:w="80"/>
              <w:right w:type="dxa" w:w="140"/>
            </w:tcMar>
          </w:tcPr>
          <w:p>
            <w:r>
              <w:rPr>
                <w:rFonts w:ascii="Arial" w:cs="Arial" w:eastAsia="Arial" w:hAnsi="Arial"/>
                <w:b/>
                <w:bCs/>
                <w:color w:val="FFFFFF"/>
                <w:sz w:val="20"/>
                <w:szCs w:val="20"/>
              </w:rPr>
              <w:t xml:space="preserve">Note</w:t>
            </w:r>
          </w:p>
        </w:tc>
      </w:tr>
      <w:tr>
        <w:tc>
          <w:tcPr>
            <w:tcW w:type="dxa" w:w="10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1</w:t>
            </w:r>
          </w:p>
        </w:tc>
        <w:tc>
          <w:tcPr>
            <w:tcW w:type="dxa" w:w="24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9</w:t>
            </w:r>
          </w:p>
        </w:tc>
        <w:tc>
          <w:tcPr>
            <w:tcW w:type="dxa" w:w="24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4.5</w:t>
            </w:r>
          </w:p>
        </w:tc>
        <w:tc>
          <w:tcPr>
            <w:tcW w:type="dxa" w:w="356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First placeholder level</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81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40.5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
            </w:r>
          </w:p>
        </w:tc>
      </w:tr>
      <w:tr>
        <w:tc>
          <w:tcPr>
            <w:tcW w:type="dxa" w:w="10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3</w:t>
            </w:r>
          </w:p>
        </w:tc>
        <w:tc>
          <w:tcPr>
            <w:tcW w:type="dxa" w:w="24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729</w:t>
            </w:r>
          </w:p>
        </w:tc>
        <w:tc>
          <w:tcPr>
            <w:tcW w:type="dxa" w:w="24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364.5</w:t>
            </w:r>
          </w:p>
        </w:tc>
        <w:tc>
          <w:tcPr>
            <w:tcW w:type="dxa" w:w="356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6,561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3,280.5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
            </w:r>
          </w:p>
        </w:tc>
      </w:tr>
      <w:tr>
        <w:tc>
          <w:tcPr>
            <w:tcW w:type="dxa" w:w="10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5</w:t>
            </w:r>
          </w:p>
        </w:tc>
        <w:tc>
          <w:tcPr>
            <w:tcW w:type="dxa" w:w="24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59,049</w:t>
            </w:r>
          </w:p>
        </w:tc>
        <w:tc>
          <w:tcPr>
            <w:tcW w:type="dxa" w:w="24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29,524.5</w:t>
            </w:r>
          </w:p>
        </w:tc>
        <w:tc>
          <w:tcPr>
            <w:tcW w:type="dxa" w:w="356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Orbit period 43,890 sits here (9⁴ &lt; 43890 &lt; 9⁵)</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531,441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265,720.5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
            </w:r>
          </w:p>
        </w:tc>
      </w:tr>
      <w:tr>
        <w:tc>
          <w:tcPr>
            <w:tcW w:type="dxa" w:w="10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7</w:t>
            </w:r>
          </w:p>
        </w:tc>
        <w:tc>
          <w:tcPr>
            <w:tcW w:type="dxa" w:w="24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4,782,969</w:t>
            </w:r>
          </w:p>
        </w:tc>
        <w:tc>
          <w:tcPr>
            <w:tcW w:type="dxa" w:w="24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2,391,484.5</w:t>
            </w:r>
          </w:p>
        </w:tc>
        <w:tc>
          <w:tcPr>
            <w:tcW w:type="dxa" w:w="356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43,046,721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21,523,360.5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
            </w:r>
          </w:p>
        </w:tc>
      </w:tr>
      <w:tr>
        <w:tc>
          <w:tcPr>
            <w:tcW w:type="dxa" w:w="10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9</w:t>
            </w:r>
          </w:p>
        </w:tc>
        <w:tc>
          <w:tcPr>
            <w:tcW w:type="dxa" w:w="24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387,420,489 = 3¹⁸</w:t>
            </w:r>
          </w:p>
        </w:tc>
        <w:tc>
          <w:tcPr>
            <w:tcW w:type="dxa" w:w="24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193,710,244.5</w:t>
            </w:r>
          </w:p>
        </w:tc>
        <w:tc>
          <w:tcPr>
            <w:tcW w:type="dxa" w:w="356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Full depth. Integer precipitates here.</w:t>
            </w:r>
          </w:p>
        </w:tc>
      </w:tr>
    </w:tbl>
    <w:p>
      <w:pPr>
        <w:spacing w:before="100" w:after="0"/>
      </w:pPr>
      <w:r>
        <w:t xml:space="preserve"/>
      </w:r>
    </w:p>
    <w:p>
      <w:pPr>
        <w:pBdr>
          <w:top w:val="none" w:sz="0" w:color="auto"/>
          <w:left w:val="single" w:color="2A6A3E" w:sz="8"/>
          <w:bottom w:val="none" w:sz="0" w:color="auto"/>
          <w:right w:val="none" w:sz="0" w:color="auto"/>
        </w:pBdr>
        <w:spacing w:before="100" w:after="100"/>
        <w:ind w:left="560"/>
      </w:pPr>
      <w:r>
        <w:rPr>
          <w:rFonts w:ascii="Arial" w:cs="Arial" w:eastAsia="Arial" w:hAnsi="Arial"/>
          <w:color w:val="444444"/>
          <w:sz w:val="20"/>
          <w:szCs w:val="20"/>
        </w:rPr>
        <w:t xml:space="preserve">The orbit period 43,890 sits between depth 4 (9⁴ = 6,561) and depth 5 (9⁵ = 59,049). The rec10/rev10 micro-orbit operates at the 5th decimalization depth of the dec10 macro-field. 5 is the pentac number — the base of rev10’s rotational structure. The orbit lives at the pentac depth.</w:t>
      </w:r>
    </w:p>
    <w:p>
      <w:pPr>
        <w:pStyle w:val="Heading2"/>
        <w:spacing w:before="280" w:after="120"/>
      </w:pPr>
      <w:r>
        <w:rPr>
          <w:rFonts w:ascii="Arial" w:cs="Arial" w:eastAsia="Arial" w:hAnsi="Arial"/>
          <w:b/>
          <w:bCs/>
          <w:color w:val="2A6A3E"/>
          <w:sz w:val="28"/>
          <w:szCs w:val="28"/>
        </w:rPr>
        <w:t xml:space="preserve">§4.2   The Quantization Lattice</w:t>
      </w:r>
    </w:p>
    <w:p>
      <w:pPr>
        <w:spacing w:before="80" w:after="80"/>
        <w:ind/>
        <w:jc w:val="left"/>
      </w:pPr>
      <w:r>
        <w:rPr>
          <w:rFonts w:ascii="Arial" w:cs="Arial" w:eastAsia="Arial" w:hAnsi="Arial"/>
          <w:b w:val="false"/>
          <w:bCs w:val="false"/>
          <w:color w:val="000000"/>
          <w:sz w:val="22"/>
          <w:szCs w:val="22"/>
        </w:rPr>
        <w:t xml:space="preserve">The 9⁹ sub-position count defines a discrete quantization lattice between every pair of adjacent integers. The field between integer n and integer n+1 is not continuous. It contains exactly 387,420,489 allowed positions:</w:t>
      </w:r>
    </w:p>
    <w:p>
      <w:pPr>
        <w:spacing w:before="60" w:after="0"/>
      </w:pPr>
      <w:r>
        <w:t xml:space="preserve"/>
      </w:r>
    </w:p>
    <w:p>
      <w:pPr>
        <w:spacing w:before="60" w:after="60"/>
        <w:ind w:left="560"/>
      </w:pPr>
      <w:r>
        <w:rPr>
          <w:rFonts w:ascii="Courier New" w:cs="Courier New" w:eastAsia="Courier New" w:hAnsi="Courier New"/>
          <w:b w:val="false"/>
          <w:bCs w:val="false"/>
          <w:color w:val="1A4A2E"/>
          <w:sz w:val="20"/>
          <w:szCs w:val="20"/>
        </w:rPr>
        <w:t xml:space="preserve">Allowed positions: n + (k₁/10¹ + k₂/10² + … + k⁹/10⁹)</w:t>
      </w:r>
    </w:p>
    <w:p>
      <w:pPr>
        <w:spacing w:before="60" w:after="60"/>
        <w:ind w:left="560"/>
      </w:pPr>
      <w:r>
        <w:rPr>
          <w:rFonts w:ascii="Courier New" w:cs="Courier New" w:eastAsia="Courier New" w:hAnsi="Courier New"/>
          <w:b w:val="false"/>
          <w:bCs w:val="false"/>
          <w:color w:val="1A4A2E"/>
          <w:sz w:val="20"/>
          <w:szCs w:val="20"/>
        </w:rPr>
        <w:t xml:space="preserve">where each kᵈ ∈ {0, 1, 2, …, 9} and not all kᵈ = 0</w:t>
      </w:r>
    </w:p>
    <w:p>
      <w:pPr>
        <w:spacing w:before="60" w:after="60"/>
        <w:ind w:left="560"/>
      </w:pPr>
      <w:r>
        <w:rPr>
          <w:rFonts w:ascii="Courier New" w:cs="Courier New" w:eastAsia="Courier New" w:hAnsi="Courier New"/>
          <w:b w:val="false"/>
          <w:bCs w:val="false"/>
          <w:color w:val="1A4A2E"/>
          <w:sz w:val="20"/>
          <w:szCs w:val="20"/>
        </w:rPr>
        <w:t xml:space="preserve">Total distinct positions: 9⁹ = 387,420,489</w:t>
      </w:r>
    </w:p>
    <w:p>
      <w:pPr>
        <w:spacing w:before="80" w:after="0"/>
      </w:pPr>
      <w:r>
        <w:t xml:space="preserve"/>
      </w:r>
    </w:p>
    <w:p>
      <w:pPr>
        <w:spacing w:before="80" w:after="80"/>
        <w:ind/>
        <w:jc w:val="left"/>
      </w:pPr>
      <w:r>
        <w:rPr>
          <w:rFonts w:ascii="Arial" w:cs="Arial" w:eastAsia="Arial" w:hAnsi="Arial"/>
          <w:b w:val="false"/>
          <w:bCs w:val="false"/>
          <w:color w:val="000000"/>
          <w:sz w:val="22"/>
          <w:szCs w:val="22"/>
        </w:rPr>
        <w:t xml:space="preserve">This is quantization by construction, not by postulate. The lattice exists because integers are logically bound by and to themselves. n is n. n+1 is n+1. What lies between them is exactly what their definitions allow. The 9⁹ count is not a regulator or a cutoff choice — it is the integer self-boundary made explicit.</w:t>
      </w:r>
    </w:p>
    <w:p>
      <w:pPr>
        <w:spacing w:before="80" w:after="0"/>
      </w:pPr>
      <w:r>
        <w:t xml:space="preserve"/>
      </w:r>
    </w:p>
    <w:p>
      <w:pPr>
        <w:pBdr>
          <w:top w:val="none" w:sz="0" w:color="auto"/>
          <w:left w:val="single" w:color="4A6A8A" w:sz="8"/>
          <w:bottom w:val="none" w:sz="0" w:color="auto"/>
          <w:right w:val="none" w:sz="0" w:color="auto"/>
        </w:pBdr>
        <w:spacing w:before="100" w:after="100"/>
        <w:ind w:left="560"/>
      </w:pPr>
      <w:r>
        <w:rPr>
          <w:rFonts w:ascii="Arial" w:cs="Arial" w:eastAsia="Arial" w:hAnsi="Arial"/>
          <w:b/>
          <w:bCs/>
          <w:color w:val="1A3A5C"/>
          <w:sz w:val="20"/>
          <w:szCs w:val="20"/>
        </w:rPr>
        <w:t xml:space="preserve">Q•  Quantization lattice: </w:t>
      </w:r>
      <w:r>
        <w:rPr>
          <w:rFonts w:ascii="Arial" w:cs="Arial" w:eastAsia="Arial" w:hAnsi="Arial"/>
          <w:color w:val="1A3A5C"/>
          <w:sz w:val="20"/>
          <w:szCs w:val="20"/>
        </w:rPr>
        <w:t xml:space="preserve">Standard QFT introduces a UV cutoff Λ to regularize infinite loop integrals. This cutoff is chosen, not derived. Dec10 provides a derived discrete lattice: exactly 9⁹ positions per integer interval. A path integral over dec10-bounded intermediate states sums over 9⁹ terms, not an infinite continuum. The integral is always finite. The renormalization workaround was correcting for a wrong prior assumption — that the inter-integer field is unbounded. It is not.</w:t>
      </w:r>
    </w:p>
    <w:p>
      <w:pPr>
        <w:pBdr>
          <w:top w:val="single" w:color="B8860B" w:sz="2"/>
          <w:bottom w:val="single" w:color="B8860B" w:sz="2"/>
          <w:left w:val="single" w:color="B8860B" w:sz="8"/>
          <w:right w:val="single" w:color="B8860B" w:sz="2"/>
        </w:pBdr>
        <w:spacing w:before="120" w:after="120"/>
        <w:ind w:left="560"/>
      </w:pPr>
      <w:r>
        <w:rPr>
          <w:rFonts w:ascii="Arial" w:cs="Arial" w:eastAsia="Arial" w:hAnsi="Arial"/>
          <w:color w:val="7A5800"/>
          <w:sz w:val="20"/>
          <w:szCs w:val="20"/>
        </w:rPr>
        <w:t xml:space="preserve">⚠  The claim that path integrals over dec10 fields are always finite is structurally sound given the 9⁹ bound. Mapping this to the specific divergent integrals of QED (vacuum polarization, electron self-energy, vertex correction) requires building the bridge from dec10 to the Feynman rules. That bridge is a formalization queue item.</w:t>
      </w:r>
    </w:p>
    <w:p>
      <w:pPr>
        <w:pStyle w:val="Heading2"/>
        <w:spacing w:before="280" w:after="120"/>
      </w:pPr>
      <w:r>
        <w:rPr>
          <w:rFonts w:ascii="Arial" w:cs="Arial" w:eastAsia="Arial" w:hAnsi="Arial"/>
          <w:b/>
          <w:bCs/>
          <w:color w:val="2A6A3E"/>
          <w:sz w:val="28"/>
          <w:szCs w:val="28"/>
        </w:rPr>
        <w:t xml:space="preserve">§4.3   Integer Emergence  —  Eigenstate Precipitation</w:t>
      </w:r>
    </w:p>
    <w:p>
      <w:pPr>
        <w:spacing w:before="80" w:after="80"/>
        <w:ind/>
        <w:jc w:val="left"/>
      </w:pPr>
      <w:r>
        <w:rPr>
          <w:rFonts w:ascii="Arial" w:cs="Arial" w:eastAsia="Arial" w:hAnsi="Arial"/>
          <w:b w:val="false"/>
          <w:bCs w:val="false"/>
          <w:color w:val="000000"/>
          <w:sz w:val="22"/>
          <w:szCs w:val="22"/>
        </w:rPr>
        <w:t xml:space="preserve">Integers are not assumed. They precipitate from below when the dec10 field saturates. The saturation mechanism: all nine decimal positions at all nine depths are filled to their maximum. At that point — and only at that point — the carry fires and the integer emerges.</w:t>
      </w:r>
    </w:p>
    <w:p>
      <w:pPr>
        <w:spacing w:before="80" w:after="0"/>
      </w:pPr>
      <w:r>
        <w:t xml:space="preserve"/>
      </w:r>
    </w:p>
    <w:p>
      <w:pPr>
        <w:spacing w:before="60" w:after="60"/>
        <w:ind w:left="560"/>
      </w:pPr>
      <w:r>
        <w:rPr>
          <w:rFonts w:ascii="Courier New" w:cs="Courier New" w:eastAsia="Courier New" w:hAnsi="Courier New"/>
          <w:b w:val="false"/>
          <w:bCs w:val="false"/>
          <w:color w:val="1A4A2E"/>
          <w:sz w:val="20"/>
          <w:szCs w:val="20"/>
        </w:rPr>
        <w:t xml:space="preserve">0.999999999  =  Σ 9/10ᵈ  for d = 1 to 9</w:t>
      </w:r>
    </w:p>
    <w:p>
      <w:pPr>
        <w:spacing w:before="60" w:after="60"/>
        <w:ind w:left="560"/>
      </w:pPr>
      <w:r>
        <w:rPr>
          <w:rFonts w:ascii="Courier New" w:cs="Courier New" w:eastAsia="Courier New" w:hAnsi="Courier New"/>
          <w:b w:val="false"/>
          <w:bCs w:val="false"/>
          <w:color w:val="1A4A2E"/>
          <w:sz w:val="20"/>
          <w:szCs w:val="20"/>
        </w:rPr>
        <w:t xml:space="preserve">             =  maximum excitation of the dec10 field</w:t>
      </w:r>
    </w:p>
    <w:p>
      <w:pPr>
        <w:spacing w:before="60" w:after="60"/>
        <w:ind w:left="560"/>
      </w:pPr>
      <w:r>
        <w:rPr>
          <w:rFonts w:ascii="Courier New" w:cs="Courier New" w:eastAsia="Courier New" w:hAnsi="Courier New"/>
          <w:b w:val="false"/>
          <w:bCs w:val="false"/>
          <w:color w:val="1A4A2E"/>
          <w:sz w:val="20"/>
          <w:szCs w:val="20"/>
        </w:rPr>
        <w:t xml:space="preserve">             =  one increment below the carry threshold</w:t>
      </w:r>
    </w:p>
    <w:p>
      <w:pPr>
        <w:spacing w:before="60" w:after="60"/>
        <w:ind w:left="560"/>
      </w:pPr>
      <w:r>
        <w:rPr>
          <w:rFonts w:ascii="Courier New" w:cs="Courier New" w:eastAsia="Courier New" w:hAnsi="Courier New"/>
          <w:b w:val="false"/>
          <w:bCs w:val="false"/>
          <w:color w:val="1A4A2E"/>
          <w:sz w:val="20"/>
          <w:szCs w:val="20"/>
        </w:rPr>
        <w:t xml:space="preserve">One more unit of excitation: carry fires. Integer precipitates.</w:t>
      </w:r>
    </w:p>
    <w:p>
      <w:pPr>
        <w:spacing w:before="80" w:after="0"/>
      </w:pPr>
      <w:r>
        <w:t xml:space="preserve"/>
      </w:r>
    </w:p>
    <w:p>
      <w:pPr>
        <w:pBdr>
          <w:top w:val="none" w:sz="0" w:color="auto"/>
          <w:left w:val="single" w:color="4A6A8A" w:sz="8"/>
          <w:bottom w:val="none" w:sz="0" w:color="auto"/>
          <w:right w:val="none" w:sz="0" w:color="auto"/>
        </w:pBdr>
        <w:spacing w:before="100" w:after="100"/>
        <w:ind w:left="560"/>
      </w:pPr>
      <w:r>
        <w:rPr>
          <w:rFonts w:ascii="Arial" w:cs="Arial" w:eastAsia="Arial" w:hAnsi="Arial"/>
          <w:b/>
          <w:bCs/>
          <w:color w:val="1A3A5C"/>
          <w:sz w:val="20"/>
          <w:szCs w:val="20"/>
        </w:rPr>
        <w:t xml:space="preserve">Q•  Eigenstate precipitation: </w:t>
      </w:r>
      <w:r>
        <w:rPr>
          <w:rFonts w:ascii="Arial" w:cs="Arial" w:eastAsia="Arial" w:hAnsi="Arial"/>
          <w:color w:val="1A3A5C"/>
          <w:sz w:val="20"/>
          <w:szCs w:val="20"/>
        </w:rPr>
        <w:t xml:space="preserve">The decimal operator D has nine eigenvalues λᵈ = 10⁻ᵈ for d = 1 to 9. The integer n is the eigenstate of D. The dec10 sub-positions are the excitation modes. When all modes reach maximum excitation (digit 9 at every depth), the system precipitates into the eigenstate — the integer emerges. This is the same structure as a quantum harmonic oscillator reaching its maximum excitation level and emitting a quantum: the field saturates, the eigenstate precipitates, the emission (carry) fires.</w:t>
      </w:r>
    </w:p>
    <w:p>
      <w:pPr>
        <w:pBdr>
          <w:top w:val="single" w:color="B8860B" w:sz="2"/>
          <w:bottom w:val="single" w:color="B8860B" w:sz="2"/>
          <w:left w:val="single" w:color="B8860B" w:sz="8"/>
          <w:right w:val="single" w:color="B8860B" w:sz="2"/>
        </w:pBdr>
        <w:spacing w:before="120" w:after="120"/>
        <w:ind w:left="560"/>
      </w:pPr>
      <w:r>
        <w:rPr>
          <w:rFonts w:ascii="Arial" w:cs="Arial" w:eastAsia="Arial" w:hAnsi="Arial"/>
          <w:color w:val="7A5800"/>
          <w:sz w:val="20"/>
          <w:szCs w:val="20"/>
        </w:rPr>
        <w:t xml:space="preserve">⚠  The eigenvalue/eigenstate reading is structurally well-formed. A formal proof that dec10 derives the quantum measurement axioms (projection postulate, Born rule, observable algebra) requires specifying the full Hilbert space structure in orbit terms. Recognized as a formalization queue item.</w:t>
      </w:r>
    </w:p>
    <w:p>
      <w:pPr>
        <w:pStyle w:val="Heading1"/>
        <w:pBdr>
          <w:bottom w:val="single" w:color="1A4A2E" w:sz="6"/>
        </w:pBdr>
        <w:spacing w:before="360" w:after="160"/>
      </w:pPr>
      <w:r>
        <w:rPr>
          <w:rFonts w:ascii="Arial" w:cs="Arial" w:eastAsia="Arial" w:hAnsi="Arial"/>
          <w:b/>
          <w:bCs/>
          <w:color w:val="1A4A2E"/>
          <w:sz w:val="36"/>
          <w:szCs w:val="36"/>
        </w:rPr>
        <w:t xml:space="preserve">§5   The Fulcrum  —  The Self-Similarity Invariant</w:t>
      </w:r>
    </w:p>
    <w:p>
      <w:pPr>
        <w:pStyle w:val="Heading2"/>
        <w:spacing w:before="280" w:after="120"/>
      </w:pPr>
      <w:r>
        <w:rPr>
          <w:rFonts w:ascii="Arial" w:cs="Arial" w:eastAsia="Arial" w:hAnsi="Arial"/>
          <w:b/>
          <w:bCs/>
          <w:color w:val="2A6A3E"/>
          <w:sz w:val="28"/>
          <w:szCs w:val="28"/>
        </w:rPr>
        <w:t xml:space="preserve">§5.1   9 Finding Its Own Center of Mass</w:t>
      </w:r>
    </w:p>
    <w:p>
      <w:pPr>
        <w:spacing w:before="80" w:after="80"/>
        <w:ind/>
        <w:jc w:val="left"/>
      </w:pPr>
      <w:r>
        <w:rPr>
          <w:rFonts w:ascii="Arial" w:cs="Arial" w:eastAsia="Arial" w:hAnsi="Arial"/>
          <w:b w:val="false"/>
          <w:bCs w:val="false"/>
          <w:color w:val="000000"/>
          <w:sz w:val="22"/>
          <w:szCs w:val="22"/>
        </w:rPr>
        <w:t xml:space="preserve">The fulcrum is not division. It is 9 locating its own center of mass. 9 is odd. Its center must be a half-integer. Four integers on each side. The 0.5 is the structural signature of 9’s odd nature making itself known:</w:t>
      </w:r>
    </w:p>
    <w:p>
      <w:pPr>
        <w:spacing w:before="60" w:after="0"/>
      </w:pPr>
      <w:r>
        <w:t xml:space="preserve"/>
      </w:r>
    </w:p>
    <w:p>
      <w:pPr>
        <w:pBdr>
          <w:top w:val="single" w:color="1A4A2E" w:sz="4"/>
          <w:left w:val="single" w:color="1A4A2E" w:sz="4"/>
          <w:bottom w:val="single" w:color="1A4A2E" w:sz="4"/>
          <w:right w:val="single" w:color="1A4A2E" w:sz="4"/>
        </w:pBdr>
        <w:shd w:fill="F0F8F2" w:val="clear"/>
        <w:spacing w:before="120" w:after="120"/>
        <w:jc w:val="center"/>
      </w:pPr>
      <w:r>
        <w:rPr>
          <w:rFonts w:ascii="Courier New" w:cs="Courier New" w:eastAsia="Courier New" w:hAnsi="Courier New"/>
          <w:b/>
          <w:bCs/>
          <w:color w:val="1A4A2E"/>
          <w:sz w:val="24"/>
          <w:szCs w:val="24"/>
        </w:rPr>
        <w:t xml:space="preserve">9 / 2 = 4.5</w:t>
      </w:r>
    </w:p>
    <w:p>
      <w:pPr>
        <w:spacing w:before="80" w:after="0"/>
      </w:pPr>
      <w:r>
        <w:t xml:space="preserve"/>
      </w:r>
    </w:p>
    <w:p>
      <w:pPr>
        <w:spacing w:before="80" w:after="80"/>
        <w:ind/>
        <w:jc w:val="left"/>
      </w:pPr>
      <w:r>
        <w:rPr>
          <w:rFonts w:ascii="Arial" w:cs="Arial" w:eastAsia="Arial" w:hAnsi="Arial"/>
          <w:b w:val="false"/>
          <w:bCs w:val="false"/>
          <w:color w:val="000000"/>
          <w:sz w:val="22"/>
          <w:szCs w:val="22"/>
        </w:rPr>
        <w:t xml:space="preserve">This is not a computation performed on 9. It is 9 expressing what it is: an odd number whose balance point cannot be an integer. The 0.5 is necessary, not chosen.</w:t>
      </w:r>
    </w:p>
    <w:p>
      <w:pPr>
        <w:pStyle w:val="Heading2"/>
        <w:spacing w:before="280" w:after="120"/>
      </w:pPr>
      <w:r>
        <w:rPr>
          <w:rFonts w:ascii="Arial" w:cs="Arial" w:eastAsia="Arial" w:hAnsi="Arial"/>
          <w:b/>
          <w:bCs/>
          <w:color w:val="2A6A3E"/>
          <w:sz w:val="28"/>
          <w:szCs w:val="28"/>
        </w:rPr>
        <w:t xml:space="preserve">§5.2   The Depth-Invariant</w:t>
      </w:r>
    </w:p>
    <w:p>
      <w:pPr>
        <w:spacing w:before="80" w:after="80"/>
        <w:ind/>
        <w:jc w:val="left"/>
      </w:pPr>
      <w:r>
        <w:rPr>
          <w:rFonts w:ascii="Arial" w:cs="Arial" w:eastAsia="Arial" w:hAnsi="Arial"/>
          <w:b w:val="false"/>
          <w:bCs w:val="false"/>
          <w:color w:val="000000"/>
          <w:sz w:val="22"/>
          <w:szCs w:val="22"/>
        </w:rPr>
        <w:t xml:space="preserve">The fulcrum is self-similar at every depth. At depth d the sub-position count is 9ᵈ and the fulcrum is 4.5 × 9^(d−1). The ratio is always the same:</w:t>
      </w:r>
    </w:p>
    <w:p>
      <w:pPr>
        <w:spacing w:before="60" w:after="0"/>
      </w:pPr>
      <w:r>
        <w:t xml:space="preserve"/>
      </w:r>
    </w:p>
    <w:p>
      <w:pPr>
        <w:spacing w:before="60" w:after="60"/>
        <w:ind w:left="560"/>
      </w:pPr>
      <w:r>
        <w:rPr>
          <w:rFonts w:ascii="Courier New" w:cs="Courier New" w:eastAsia="Courier New" w:hAnsi="Courier New"/>
          <w:b w:val="false"/>
          <w:bCs w:val="false"/>
          <w:color w:val="1A4A2E"/>
          <w:sz w:val="20"/>
          <w:szCs w:val="20"/>
        </w:rPr>
        <w:t xml:space="preserve">fulcrum / sub-positions  =  4.5 × 9^(d-1) / 9ᵈ  =  4.5 / 9  =  1/2</w:t>
      </w:r>
    </w:p>
    <w:p>
      <w:pPr>
        <w:spacing w:before="80" w:after="0"/>
      </w:pPr>
      <w:r>
        <w:t xml:space="preserve"/>
      </w:r>
    </w:p>
    <w:p>
      <w:pPr>
        <w:spacing w:before="80" w:after="80"/>
        <w:ind/>
        <w:jc w:val="left"/>
      </w:pPr>
      <w:r>
        <w:rPr>
          <w:rFonts w:ascii="Arial" w:cs="Arial" w:eastAsia="Arial" w:hAnsi="Arial"/>
          <w:b w:val="false"/>
          <w:bCs w:val="false"/>
          <w:color w:val="000000"/>
          <w:sz w:val="22"/>
          <w:szCs w:val="22"/>
        </w:rPr>
        <w:t xml:space="preserve">At every depth, from 1 to 9, the fulcrum sits at exactly half the sub-position count. This is depth-independent. It is a true invariant of the dec10 structure.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800"/>
        <w:gridCol w:w="3360"/>
      </w:tblGrid>
      <w:tr>
        <w:trPr>
          <w:tblHeader/>
        </w:trPr>
        <w:tc>
          <w:tcPr>
            <w:tcW w:type="dxa" w:w="1000"/>
            <w:tcBorders>
              <w:top w:val="single" w:color="1A4A2E" w:sz="4"/>
              <w:left w:val="single" w:color="1A4A2E" w:sz="4"/>
              <w:bottom w:val="single" w:color="1A4A2E" w:sz="4"/>
              <w:right w:val="single" w:color="1A4A2E" w:sz="4"/>
            </w:tcBorders>
            <w:shd w:fill="1A4A2E" w:val="clear"/>
            <w:tcMar>
              <w:top w:type="dxa" w:w="80"/>
              <w:left w:type="dxa" w:w="140"/>
              <w:bottom w:type="dxa" w:w="80"/>
              <w:right w:type="dxa" w:w="140"/>
            </w:tcMar>
          </w:tcPr>
          <w:p>
            <w:r>
              <w:rPr>
                <w:rFonts w:ascii="Arial" w:cs="Arial" w:eastAsia="Arial" w:hAnsi="Arial"/>
                <w:b/>
                <w:bCs/>
                <w:color w:val="FFFFFF"/>
                <w:sz w:val="20"/>
                <w:szCs w:val="20"/>
              </w:rPr>
              <w:t xml:space="preserve">Depth d</w:t>
            </w:r>
          </w:p>
        </w:tc>
        <w:tc>
          <w:tcPr>
            <w:tcW w:type="dxa" w:w="2200"/>
            <w:tcBorders>
              <w:top w:val="single" w:color="1A4A2E" w:sz="4"/>
              <w:left w:val="single" w:color="1A4A2E" w:sz="4"/>
              <w:bottom w:val="single" w:color="1A4A2E" w:sz="4"/>
              <w:right w:val="single" w:color="1A4A2E" w:sz="4"/>
            </w:tcBorders>
            <w:shd w:fill="1A4A2E" w:val="clear"/>
            <w:tcMar>
              <w:top w:type="dxa" w:w="80"/>
              <w:left w:type="dxa" w:w="140"/>
              <w:bottom w:type="dxa" w:w="80"/>
              <w:right w:type="dxa" w:w="140"/>
            </w:tcMar>
          </w:tcPr>
          <w:p>
            <w:r>
              <w:rPr>
                <w:rFonts w:ascii="Arial" w:cs="Arial" w:eastAsia="Arial" w:hAnsi="Arial"/>
                <w:b/>
                <w:bCs/>
                <w:color w:val="FFFFFF"/>
                <w:sz w:val="20"/>
                <w:szCs w:val="20"/>
              </w:rPr>
              <w:t xml:space="preserve">Sub-positions</w:t>
            </w:r>
          </w:p>
        </w:tc>
        <w:tc>
          <w:tcPr>
            <w:tcW w:type="dxa" w:w="2800"/>
            <w:tcBorders>
              <w:top w:val="single" w:color="1A4A2E" w:sz="4"/>
              <w:left w:val="single" w:color="1A4A2E" w:sz="4"/>
              <w:bottom w:val="single" w:color="1A4A2E" w:sz="4"/>
              <w:right w:val="single" w:color="1A4A2E" w:sz="4"/>
            </w:tcBorders>
            <w:shd w:fill="1A4A2E" w:val="clear"/>
            <w:tcMar>
              <w:top w:type="dxa" w:w="80"/>
              <w:left w:type="dxa" w:w="140"/>
              <w:bottom w:type="dxa" w:w="80"/>
              <w:right w:type="dxa" w:w="140"/>
            </w:tcMar>
          </w:tcPr>
          <w:p>
            <w:r>
              <w:rPr>
                <w:rFonts w:ascii="Arial" w:cs="Arial" w:eastAsia="Arial" w:hAnsi="Arial"/>
                <w:b/>
                <w:bCs/>
                <w:color w:val="FFFFFF"/>
                <w:sz w:val="20"/>
                <w:szCs w:val="20"/>
              </w:rPr>
              <w:t xml:space="preserve">Fulcrum</w:t>
            </w:r>
          </w:p>
        </w:tc>
        <w:tc>
          <w:tcPr>
            <w:tcW w:type="dxa" w:w="3360"/>
            <w:tcBorders>
              <w:top w:val="single" w:color="1A4A2E" w:sz="4"/>
              <w:left w:val="single" w:color="1A4A2E" w:sz="4"/>
              <w:bottom w:val="single" w:color="1A4A2E" w:sz="4"/>
              <w:right w:val="single" w:color="1A4A2E" w:sz="4"/>
            </w:tcBorders>
            <w:shd w:fill="1A4A2E" w:val="clear"/>
            <w:tcMar>
              <w:top w:type="dxa" w:w="80"/>
              <w:left w:type="dxa" w:w="140"/>
              <w:bottom w:type="dxa" w:w="80"/>
              <w:right w:type="dxa" w:w="140"/>
            </w:tcMar>
          </w:tcPr>
          <w:p>
            <w:r>
              <w:rPr>
                <w:rFonts w:ascii="Arial" w:cs="Arial" w:eastAsia="Arial" w:hAnsi="Arial"/>
                <w:b/>
                <w:bCs/>
                <w:color w:val="FFFFFF"/>
                <w:sz w:val="20"/>
                <w:szCs w:val="20"/>
              </w:rPr>
              <w:t xml:space="preserve">Ratio</w:t>
            </w:r>
          </w:p>
        </w:tc>
      </w:tr>
      <w:tr>
        <w:tc>
          <w:tcPr>
            <w:tcW w:type="dxa" w:w="10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9</w:t>
            </w:r>
          </w:p>
        </w:tc>
        <w:tc>
          <w:tcPr>
            <w:tcW w:type="dxa" w:w="28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4.5</w:t>
            </w:r>
          </w:p>
        </w:tc>
        <w:tc>
          <w:tcPr>
            <w:tcW w:type="dxa" w:w="336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4.5/9 = 0.5</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81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40.5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40.5/81 = 0.5</w:t>
            </w:r>
          </w:p>
        </w:tc>
      </w:tr>
      <w:tr>
        <w:tc>
          <w:tcPr>
            <w:tcW w:type="dxa" w:w="10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5</w:t>
            </w:r>
          </w:p>
        </w:tc>
        <w:tc>
          <w:tcPr>
            <w:tcW w:type="dxa" w:w="22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59,049</w:t>
            </w:r>
          </w:p>
        </w:tc>
        <w:tc>
          <w:tcPr>
            <w:tcW w:type="dxa" w:w="28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29,524.5</w:t>
            </w:r>
          </w:p>
        </w:tc>
        <w:tc>
          <w:tcPr>
            <w:tcW w:type="dxa" w:w="336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29524.5/59049 = 0.5</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387,420,489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193,710,244.5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193710244.5/387420489 = 0.5</w:t>
            </w:r>
          </w:p>
        </w:tc>
      </w:tr>
      <w:tr>
        <w:tc>
          <w:tcPr>
            <w:tcW w:type="dxa" w:w="10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d (any)</w:t>
            </w:r>
          </w:p>
        </w:tc>
        <w:tc>
          <w:tcPr>
            <w:tcW w:type="dxa" w:w="22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9ᵈ</w:t>
            </w:r>
          </w:p>
        </w:tc>
        <w:tc>
          <w:tcPr>
            <w:tcW w:type="dxa" w:w="28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4.5 × 9^(d-1)</w:t>
            </w:r>
          </w:p>
        </w:tc>
        <w:tc>
          <w:tcPr>
            <w:tcW w:type="dxa" w:w="336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Always 1/2</w:t>
            </w:r>
          </w:p>
        </w:tc>
      </w:tr>
    </w:tbl>
    <w:p>
      <w:pPr>
        <w:spacing w:before="80" w:after="0"/>
      </w:pPr>
      <w:r>
        <w:t xml:space="preserve"/>
      </w:r>
    </w:p>
    <w:p>
      <w:pPr>
        <w:pBdr>
          <w:top w:val="none" w:sz="0" w:color="auto"/>
          <w:left w:val="single" w:color="2A6A3E" w:sz="8"/>
          <w:bottom w:val="none" w:sz="0" w:color="auto"/>
          <w:right w:val="none" w:sz="0" w:color="auto"/>
        </w:pBdr>
        <w:spacing w:before="100" w:after="100"/>
        <w:ind w:left="560"/>
      </w:pPr>
      <w:r>
        <w:rPr>
          <w:rFonts w:ascii="Arial" w:cs="Arial" w:eastAsia="Arial" w:hAnsi="Arial"/>
          <w:color w:val="444444"/>
          <w:sz w:val="20"/>
          <w:szCs w:val="20"/>
        </w:rPr>
        <w:t xml:space="preserve">Re(s) = 1/2 and the dec10 fulcrum invariant are the same geometric fact at different scales. The Riemann critical line is not imposed on the zeta function. It is the dec10 self-similarity invariant expressed in the complex plane.</w:t>
      </w:r>
    </w:p>
    <w:p>
      <w:pPr>
        <w:spacing w:before="80" w:after="0"/>
      </w:pPr>
      <w:r>
        <w:t xml:space="preserve"/>
      </w:r>
    </w:p>
    <w:p>
      <w:pPr>
        <w:pBdr>
          <w:top w:val="none" w:sz="0" w:color="auto"/>
          <w:left w:val="single" w:color="4A6A8A" w:sz="8"/>
          <w:bottom w:val="none" w:sz="0" w:color="auto"/>
          <w:right w:val="none" w:sz="0" w:color="auto"/>
        </w:pBdr>
        <w:spacing w:before="100" w:after="100"/>
        <w:ind w:left="560"/>
      </w:pPr>
      <w:r>
        <w:rPr>
          <w:rFonts w:ascii="Arial" w:cs="Arial" w:eastAsia="Arial" w:hAnsi="Arial"/>
          <w:b/>
          <w:bCs/>
          <w:color w:val="1A3A5C"/>
          <w:sz w:val="20"/>
          <w:szCs w:val="20"/>
        </w:rPr>
        <w:t xml:space="preserve">Q•  Zero-point energy: </w:t>
      </w:r>
      <w:r>
        <w:rPr>
          <w:rFonts w:ascii="Arial" w:cs="Arial" w:eastAsia="Arial" w:hAnsi="Arial"/>
          <w:color w:val="1A3A5C"/>
          <w:sz w:val="20"/>
          <w:szCs w:val="20"/>
        </w:rPr>
        <w:t xml:space="preserve">The quantum harmonic oscillator ground state energy is (1/2)ħω, not zero. The field cannot be at rest at zero. The 1/2 here is the same structural 1/2 as the dec10 fulcrum invariant. The vacuum (9⁹ field at rest, all sub-positions unexcited) is not nothing — it is the field at its midpoint, with the potential for 9⁹ excitations. The zero-point energy is the substrate activity at rest. The 1/2 is forced by the same odd-number self-balancing that forces 9/2 = 4.5.</w:t>
      </w:r>
    </w:p>
    <w:p>
      <w:pPr>
        <w:pBdr>
          <w:top w:val="single" w:color="B8860B" w:sz="2"/>
          <w:bottom w:val="single" w:color="B8860B" w:sz="2"/>
          <w:left w:val="single" w:color="B8860B" w:sz="8"/>
          <w:right w:val="single" w:color="B8860B" w:sz="2"/>
        </w:pBdr>
        <w:spacing w:before="120" w:after="120"/>
        <w:ind w:left="560"/>
      </w:pPr>
      <w:r>
        <w:rPr>
          <w:rFonts w:ascii="Arial" w:cs="Arial" w:eastAsia="Arial" w:hAnsi="Arial"/>
          <w:color w:val="7A5800"/>
          <w:sz w:val="20"/>
          <w:szCs w:val="20"/>
        </w:rPr>
        <w:t xml:space="preserve">⚠  The structural parallel between 1/2ħω and the dec10 fulcrum invariant is established. Deriving the specific value of ħω from orbit constants requires connecting ω (the oscillator frequency) and ħ (reduced Planck constant) to the orbit period 43,890 and modulus 43,891. That connection is not made here.</w:t>
      </w:r>
    </w:p>
    <w:p>
      <w:pPr>
        <w:pStyle w:val="Heading1"/>
        <w:pBdr>
          <w:bottom w:val="single" w:color="1A4A2E" w:sz="6"/>
        </w:pBdr>
        <w:spacing w:before="360" w:after="160"/>
      </w:pPr>
      <w:r>
        <w:rPr>
          <w:rFonts w:ascii="Arial" w:cs="Arial" w:eastAsia="Arial" w:hAnsi="Arial"/>
          <w:b/>
          <w:bCs/>
          <w:color w:val="1A4A2E"/>
          <w:sz w:val="36"/>
          <w:szCs w:val="36"/>
        </w:rPr>
        <w:t xml:space="preserve">§6   Entry Cost  —  P(54,2) = 2862</w:t>
      </w:r>
    </w:p>
    <w:p>
      <w:pPr>
        <w:pStyle w:val="Heading2"/>
        <w:spacing w:before="280" w:after="120"/>
      </w:pPr>
      <w:r>
        <w:rPr>
          <w:rFonts w:ascii="Arial" w:cs="Arial" w:eastAsia="Arial" w:hAnsi="Arial"/>
          <w:b/>
          <w:bCs/>
          <w:color w:val="2A6A3E"/>
          <w:sz w:val="28"/>
          <w:szCs w:val="28"/>
        </w:rPr>
        <w:t xml:space="preserve">§6.1   Derivation of 54</w:t>
      </w:r>
    </w:p>
    <w:p>
      <w:pPr>
        <w:spacing w:before="80" w:after="80"/>
        <w:ind/>
        <w:jc w:val="left"/>
      </w:pPr>
      <w:r>
        <w:rPr>
          <w:rFonts w:ascii="Arial" w:cs="Arial" w:eastAsia="Arial" w:hAnsi="Arial"/>
          <w:b w:val="false"/>
          <w:bCs w:val="false"/>
          <w:color w:val="000000"/>
          <w:sz w:val="22"/>
          <w:szCs w:val="22"/>
        </w:rPr>
        <w:t xml:space="preserve">The entry cost P(54,2) = 2862 is the number of ordered pairs that can be selected from the 54 combined structural positions of the crossing. The 54 comes from:</w:t>
      </w:r>
    </w:p>
    <w:p>
      <w:pPr>
        <w:spacing w:before="60" w:after="0"/>
      </w:pPr>
      <w:r>
        <w:t xml:space="preserve"/>
      </w:r>
    </w:p>
    <w:p>
      <w:pPr>
        <w:spacing w:before="60" w:after="60"/>
        <w:ind w:left="560"/>
      </w:pPr>
      <w:r>
        <w:rPr>
          <w:rFonts w:ascii="Courier New" w:cs="Courier New" w:eastAsia="Courier New" w:hAnsi="Courier New"/>
          <w:b w:val="false"/>
          <w:bCs w:val="false"/>
          <w:color w:val="1A4A2E"/>
          <w:sz w:val="20"/>
          <w:szCs w:val="20"/>
        </w:rPr>
        <w:t xml:space="preserve">54  =  9 × 6  =  dec10_depth_levels × ring_positions</w:t>
      </w:r>
    </w:p>
    <w:p>
      <w:pPr>
        <w:spacing w:before="80" w:after="0"/>
      </w:pPr>
      <w:r>
        <w:t xml:space="preserve"/>
      </w:r>
    </w:p>
    <w:p>
      <w:pPr>
        <w:spacing w:before="80" w:after="80"/>
        <w:ind/>
        <w:jc w:val="left"/>
      </w:pPr>
      <w:r>
        <w:rPr>
          <w:rFonts w:ascii="Arial" w:cs="Arial" w:eastAsia="Arial" w:hAnsi="Arial"/>
          <w:b w:val="false"/>
          <w:bCs w:val="false"/>
          <w:color w:val="000000"/>
          <w:sz w:val="22"/>
          <w:szCs w:val="22"/>
        </w:rPr>
        <w:t xml:space="preserve">9 is the dec10 depth ceiling — the number of decimalization levels. 6 is the ring position count — the six positions of the torus topology (Pre-Predecessor, Predecessor, Post-Predecessor, Pre-Successor, Successor, Post-Successor). Together they define the full structural position set: 54 positions from which the crossing must select.</w:t>
      </w:r>
    </w:p>
    <w:p>
      <w:pPr>
        <w:pStyle w:val="Heading2"/>
        <w:spacing w:before="280" w:after="120"/>
      </w:pPr>
      <w:r>
        <w:rPr>
          <w:rFonts w:ascii="Arial" w:cs="Arial" w:eastAsia="Arial" w:hAnsi="Arial"/>
          <w:b/>
          <w:bCs/>
          <w:color w:val="2A6A3E"/>
          <w:sz w:val="28"/>
          <w:szCs w:val="28"/>
        </w:rPr>
        <w:t xml:space="preserve">§6.2   Why Ordered Pairs</w:t>
      </w:r>
    </w:p>
    <w:p>
      <w:pPr>
        <w:spacing w:before="80" w:after="80"/>
        <w:ind/>
        <w:jc w:val="left"/>
      </w:pPr>
      <w:r>
        <w:rPr>
          <w:rFonts w:ascii="Arial" w:cs="Arial" w:eastAsia="Arial" w:hAnsi="Arial"/>
          <w:b w:val="false"/>
          <w:bCs w:val="false"/>
          <w:color w:val="000000"/>
          <w:sz w:val="22"/>
          <w:szCs w:val="22"/>
        </w:rPr>
        <w:t xml:space="preserve">The crossing involves two distinct channels: rec10 (forward) and rev10 (backward). Each channel selects its position from the 54-position structural set. The order is significant because rec10 and rev10 are not interchangeable — (rec10 at position A, rev10 at position B) is a different crossing configuration from (rec10 at B, rev10 at A). Hence the permutation P(54,2), not the combination C(54,2):</w:t>
      </w:r>
    </w:p>
    <w:p>
      <w:pPr>
        <w:spacing w:before="60" w:after="0"/>
      </w:pPr>
      <w:r>
        <w:t xml:space="preserve"/>
      </w:r>
    </w:p>
    <w:p>
      <w:pPr>
        <w:spacing w:before="60" w:after="60"/>
        <w:ind w:left="560"/>
      </w:pPr>
      <w:r>
        <w:rPr>
          <w:rFonts w:ascii="Courier New" w:cs="Courier New" w:eastAsia="Courier New" w:hAnsi="Courier New"/>
          <w:b w:val="false"/>
          <w:bCs w:val="false"/>
          <w:color w:val="1A4A2E"/>
          <w:sz w:val="20"/>
          <w:szCs w:val="20"/>
        </w:rPr>
        <w:t xml:space="preserve">P(54,2)  =  54 × 53  =  2862   (ordered — rec10 and rev10 are distinct)</w:t>
      </w:r>
    </w:p>
    <w:p>
      <w:pPr>
        <w:spacing w:before="60" w:after="60"/>
        <w:ind w:left="560"/>
      </w:pPr>
      <w:r>
        <w:rPr>
          <w:rFonts w:ascii="Courier New" w:cs="Courier New" w:eastAsia="Courier New" w:hAnsi="Courier New"/>
          <w:b w:val="false"/>
          <w:bCs w:val="false"/>
          <w:color w:val="1A4A2E"/>
          <w:sz w:val="20"/>
          <w:szCs w:val="20"/>
        </w:rPr>
        <w:t xml:space="preserve">C(54,2)  =  54 × 53 / 2  =  1431  (unordered — would apply if channels were identical)</w:t>
      </w:r>
    </w:p>
    <w:p>
      <w:pPr>
        <w:spacing w:before="80" w:after="0"/>
      </w:pPr>
      <w:r>
        <w:t xml:space="preserve"/>
      </w:r>
    </w:p>
    <w:p>
      <w:pPr>
        <w:pBdr>
          <w:top w:val="none" w:sz="0" w:color="auto"/>
          <w:left w:val="single" w:color="2A6A3E" w:sz="8"/>
          <w:bottom w:val="none" w:sz="0" w:color="auto"/>
          <w:right w:val="none" w:sz="0" w:color="auto"/>
        </w:pBdr>
        <w:spacing w:before="100" w:after="100"/>
        <w:ind w:left="560"/>
      </w:pPr>
      <w:r>
        <w:rPr>
          <w:rFonts w:ascii="Arial" w:cs="Arial" w:eastAsia="Arial" w:hAnsi="Arial"/>
          <w:color w:val="444444"/>
          <w:sz w:val="20"/>
          <w:szCs w:val="20"/>
        </w:rPr>
        <w:t xml:space="preserve">2862 = 2 × 3³ × 53. The entry window spans the final 2862 steps of the orbit (43890 − 41028 = 2862). The entry cost and the entry window length are the same number — the cost is embedded in the orbit structure.</w:t>
      </w:r>
    </w:p>
    <w:p>
      <w:pPr>
        <w:spacing w:before="80" w:after="0"/>
      </w:pPr>
      <w:r>
        <w:t xml:space="preserve"/>
      </w:r>
    </w:p>
    <w:p>
      <w:pPr>
        <w:pBdr>
          <w:top w:val="none" w:sz="0" w:color="auto"/>
          <w:left w:val="single" w:color="4A6A8A" w:sz="8"/>
          <w:bottom w:val="none" w:sz="0" w:color="auto"/>
          <w:right w:val="none" w:sz="0" w:color="auto"/>
        </w:pBdr>
        <w:spacing w:before="100" w:after="100"/>
        <w:ind w:left="560"/>
      </w:pPr>
      <w:r>
        <w:rPr>
          <w:rFonts w:ascii="Arial" w:cs="Arial" w:eastAsia="Arial" w:hAnsi="Arial"/>
          <w:b/>
          <w:bCs/>
          <w:color w:val="1A3A5C"/>
          <w:sz w:val="20"/>
          <w:szCs w:val="20"/>
        </w:rPr>
        <w:t xml:space="preserve">Q•  Transition state degeneracy: </w:t>
      </w:r>
      <w:r>
        <w:rPr>
          <w:rFonts w:ascii="Arial" w:cs="Arial" w:eastAsia="Arial" w:hAnsi="Arial"/>
          <w:color w:val="1A3A5C"/>
          <w:sz w:val="20"/>
          <w:szCs w:val="20"/>
        </w:rPr>
        <w:t xml:space="preserve">In quantum transition state theory, the degeneracy of a transition state is the number of distinct quantum paths through it. P(54,2) = 2862 is the degeneracy of the dec10 crossing state: 2862 distinct ordered configurations are accessible before the carry fires. The carry selects one. The 2861 others are the counterfactual paths not taken — the quantum roads not traveled. This is the dec10 expression of the principle that a quantum transition has a definite multiplicity.</w:t>
      </w:r>
    </w:p>
    <w:p>
      <w:pPr>
        <w:pBdr>
          <w:top w:val="single" w:color="B8860B" w:sz="2"/>
          <w:bottom w:val="single" w:color="B8860B" w:sz="2"/>
          <w:left w:val="single" w:color="B8860B" w:sz="8"/>
          <w:right w:val="single" w:color="B8860B" w:sz="2"/>
        </w:pBdr>
        <w:spacing w:before="120" w:after="120"/>
        <w:ind w:left="560"/>
      </w:pPr>
      <w:r>
        <w:rPr>
          <w:rFonts w:ascii="Arial" w:cs="Arial" w:eastAsia="Arial" w:hAnsi="Arial"/>
          <w:color w:val="7A5800"/>
          <w:sz w:val="20"/>
          <w:szCs w:val="20"/>
        </w:rPr>
        <w:t xml:space="preserve">⚠  Reading P(54,2) as a formal Hilbert space degeneracy requires specifying the state space and showing that 2862 corresponds to the dimension of the degenerate subspace at the transition energy. Structural parallel is established; formal Hilbert space mapping is a queue item.</w:t>
      </w:r>
    </w:p>
    <w:p>
      <w:pPr>
        <w:pStyle w:val="Heading1"/>
        <w:pBdr>
          <w:bottom w:val="single" w:color="1A4A2E" w:sz="6"/>
        </w:pBdr>
        <w:spacing w:before="360" w:after="160"/>
      </w:pPr>
      <w:r>
        <w:rPr>
          <w:rFonts w:ascii="Arial" w:cs="Arial" w:eastAsia="Arial" w:hAnsi="Arial"/>
          <w:b/>
          <w:bCs/>
          <w:color w:val="1A4A2E"/>
          <w:sz w:val="36"/>
          <w:szCs w:val="36"/>
        </w:rPr>
        <w:t xml:space="preserve">§7   The 720° Crossing  —  Spinor and Molt Condition</w:t>
      </w:r>
    </w:p>
    <w:p>
      <w:pPr>
        <w:pStyle w:val="Heading2"/>
        <w:spacing w:before="280" w:after="120"/>
      </w:pPr>
      <w:r>
        <w:rPr>
          <w:rFonts w:ascii="Arial" w:cs="Arial" w:eastAsia="Arial" w:hAnsi="Arial"/>
          <w:b/>
          <w:bCs/>
          <w:color w:val="2A6A3E"/>
          <w:sz w:val="28"/>
          <w:szCs w:val="28"/>
        </w:rPr>
        <w:t xml:space="preserve">§7.1   Why 720 and Not 360</w:t>
      </w:r>
    </w:p>
    <w:p>
      <w:pPr>
        <w:spacing w:before="80" w:after="80"/>
        <w:ind/>
        <w:jc w:val="left"/>
      </w:pPr>
      <w:r>
        <w:rPr>
          <w:rFonts w:ascii="Arial" w:cs="Arial" w:eastAsia="Arial" w:hAnsi="Arial"/>
          <w:b w:val="false"/>
          <w:bCs w:val="false"/>
          <w:color w:val="000000"/>
          <w:sz w:val="22"/>
          <w:szCs w:val="22"/>
        </w:rPr>
        <w:t xml:space="preserve">The lifecycle molt is gated at 720° — the double cover of SO(3). A single 360° rotation is not sufficient for the crossing to complete. The reason is that dec10 requires both channels to have fully traversed the field before the shell can be shed:</w:t>
      </w:r>
    </w:p>
    <w:p>
      <w:pPr>
        <w:spacing w:before="80" w:after="0"/>
      </w:pPr>
      <w:r>
        <w:t xml:space="preserve"/>
      </w:r>
    </w:p>
    <w:p>
      <w:pPr>
        <w:spacing w:before="60" w:after="60"/>
        <w:ind w:left="560"/>
      </w:pPr>
      <w:r>
        <w:rPr>
          <w:rFonts w:ascii="Courier New" w:cs="Courier New" w:eastAsia="Courier New" w:hAnsi="Courier New"/>
          <w:b w:val="false"/>
          <w:bCs w:val="false"/>
          <w:color w:val="1A4A2E"/>
          <w:sz w:val="20"/>
          <w:szCs w:val="20"/>
        </w:rPr>
        <w:t xml:space="preserve">First 360°:   Rec10 completes its arc (forward, silver, positive axis)</w:t>
      </w:r>
    </w:p>
    <w:p>
      <w:pPr>
        <w:spacing w:before="60" w:after="60"/>
        <w:ind w:left="560"/>
      </w:pPr>
      <w:r>
        <w:rPr>
          <w:rFonts w:ascii="Courier New" w:cs="Courier New" w:eastAsia="Courier New" w:hAnsi="Courier New"/>
          <w:b w:val="false"/>
          <w:bCs w:val="false"/>
          <w:color w:val="1A4A2E"/>
          <w:sz w:val="20"/>
          <w:szCs w:val="20"/>
        </w:rPr>
        <w:t xml:space="preserve">               State after first arc: rec10(k) → rev10(k)</w:t>
      </w:r>
    </w:p>
    <w:p>
      <w:pPr>
        <w:spacing w:before="60" w:after="60"/>
        <w:ind w:left="560"/>
      </w:pPr>
      <w:r>
        <w:rPr>
          <w:rFonts w:ascii="Courier New" w:cs="Courier New" w:eastAsia="Courier New" w:hAnsi="Courier New"/>
          <w:b w:val="false"/>
          <w:bCs w:val="false"/>
          <w:color w:val="1A4A2E"/>
          <w:sz w:val="20"/>
          <w:szCs w:val="20"/>
        </w:rPr>
        <w:t xml:space="preserve">               Same magnitude. Flipped orientation. NOT the original state.</w:t>
      </w:r>
    </w:p>
    <w:p>
      <w:pPr>
        <w:spacing w:before="60" w:after="60"/>
        <w:ind w:left="560"/>
      </w:pPr>
      <w:r>
        <w:rPr>
          <w:rFonts w:ascii="Courier New" w:cs="Courier New" w:eastAsia="Courier New" w:hAnsi="Courier New"/>
          <w:b w:val="false"/>
          <w:bCs w:val="false"/>
          <w:color w:val="1A4A2E"/>
          <w:sz w:val="20"/>
          <w:szCs w:val="20"/>
        </w:rPr>
        <w:t xml:space="preserve">Second 360°:  Rev10 completes its arc (backward, golden, negative axis)</w:t>
      </w:r>
    </w:p>
    <w:p>
      <w:pPr>
        <w:spacing w:before="60" w:after="60"/>
        <w:ind w:left="560"/>
      </w:pPr>
      <w:r>
        <w:rPr>
          <w:rFonts w:ascii="Courier New" w:cs="Courier New" w:eastAsia="Courier New" w:hAnsi="Courier New"/>
          <w:b w:val="false"/>
          <w:bCs w:val="false"/>
          <w:color w:val="1A4A2E"/>
          <w:sz w:val="20"/>
          <w:szCs w:val="20"/>
        </w:rPr>
        <w:t xml:space="preserve">               State after second arc: rec10 × rev10 = 1 (unit constraint)</w:t>
      </w:r>
    </w:p>
    <w:p>
      <w:pPr>
        <w:spacing w:before="60" w:after="60"/>
        <w:ind w:left="560"/>
      </w:pPr>
      <w:r>
        <w:rPr>
          <w:rFonts w:ascii="Courier New" w:cs="Courier New" w:eastAsia="Courier New" w:hAnsi="Courier New"/>
          <w:b w:val="false"/>
          <w:bCs w:val="false"/>
          <w:color w:val="1A4A2E"/>
          <w:sz w:val="20"/>
          <w:szCs w:val="20"/>
        </w:rPr>
        <w:t xml:space="preserve">               Identity restored. Both arcs witnessed. Molt fires.</w:t>
      </w:r>
    </w:p>
    <w:p>
      <w:pPr>
        <w:spacing w:before="80" w:after="0"/>
      </w:pPr>
      <w:r>
        <w:t xml:space="preserve"/>
      </w:r>
    </w:p>
    <w:p>
      <w:pPr>
        <w:spacing w:before="80" w:after="80"/>
        <w:ind/>
        <w:jc w:val="left"/>
      </w:pPr>
      <w:r>
        <w:rPr>
          <w:rFonts w:ascii="Arial" w:cs="Arial" w:eastAsia="Arial" w:hAnsi="Arial"/>
          <w:b w:val="false"/>
          <w:bCs w:val="false"/>
          <w:color w:val="000000"/>
          <w:sz w:val="22"/>
          <w:szCs w:val="22"/>
        </w:rPr>
        <w:t xml:space="preserve">The unit constraint — rec10(k) × rev10(k) ≡ 1 mod 43891 — is the 720° identity expressed as the master validation condition of the entire system. It is not a check performed after the fact. It is the condition that the crossing must satisfy. The molt does not fire until this condition is met.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2800"/>
        <w:gridCol w:w="3560"/>
      </w:tblGrid>
      <w:tr>
        <w:trPr>
          <w:tblHeader/>
        </w:trPr>
        <w:tc>
          <w:tcPr>
            <w:tcW w:type="dxa" w:w="1000"/>
            <w:tcBorders>
              <w:top w:val="single" w:color="1A4A2E" w:sz="4"/>
              <w:left w:val="single" w:color="1A4A2E" w:sz="4"/>
              <w:bottom w:val="single" w:color="1A4A2E" w:sz="4"/>
              <w:right w:val="single" w:color="1A4A2E" w:sz="4"/>
            </w:tcBorders>
            <w:shd w:fill="1A4A2E" w:val="clear"/>
            <w:tcMar>
              <w:top w:type="dxa" w:w="80"/>
              <w:left w:type="dxa" w:w="140"/>
              <w:bottom w:type="dxa" w:w="80"/>
              <w:right w:type="dxa" w:w="140"/>
            </w:tcMar>
          </w:tcPr>
          <w:p>
            <w:r>
              <w:rPr>
                <w:rFonts w:ascii="Arial" w:cs="Arial" w:eastAsia="Arial" w:hAnsi="Arial"/>
                <w:b/>
                <w:bCs/>
                <w:color w:val="FFFFFF"/>
                <w:sz w:val="20"/>
                <w:szCs w:val="20"/>
              </w:rPr>
              <w:t xml:space="preserve">Rotation</w:t>
            </w:r>
          </w:p>
        </w:tc>
        <w:tc>
          <w:tcPr>
            <w:tcW w:type="dxa" w:w="2000"/>
            <w:tcBorders>
              <w:top w:val="single" w:color="1A4A2E" w:sz="4"/>
              <w:left w:val="single" w:color="1A4A2E" w:sz="4"/>
              <w:bottom w:val="single" w:color="1A4A2E" w:sz="4"/>
              <w:right w:val="single" w:color="1A4A2E" w:sz="4"/>
            </w:tcBorders>
            <w:shd w:fill="1A4A2E" w:val="clear"/>
            <w:tcMar>
              <w:top w:type="dxa" w:w="80"/>
              <w:left w:type="dxa" w:w="140"/>
              <w:bottom w:type="dxa" w:w="80"/>
              <w:right w:type="dxa" w:w="140"/>
            </w:tcMar>
          </w:tcPr>
          <w:p>
            <w:r>
              <w:rPr>
                <w:rFonts w:ascii="Arial" w:cs="Arial" w:eastAsia="Arial" w:hAnsi="Arial"/>
                <w:b/>
                <w:bCs/>
                <w:color w:val="FFFFFF"/>
                <w:sz w:val="20"/>
                <w:szCs w:val="20"/>
              </w:rPr>
              <w:t xml:space="preserve">Channel</w:t>
            </w:r>
          </w:p>
        </w:tc>
        <w:tc>
          <w:tcPr>
            <w:tcW w:type="dxa" w:w="2800"/>
            <w:tcBorders>
              <w:top w:val="single" w:color="1A4A2E" w:sz="4"/>
              <w:left w:val="single" w:color="1A4A2E" w:sz="4"/>
              <w:bottom w:val="single" w:color="1A4A2E" w:sz="4"/>
              <w:right w:val="single" w:color="1A4A2E" w:sz="4"/>
            </w:tcBorders>
            <w:shd w:fill="1A4A2E" w:val="clear"/>
            <w:tcMar>
              <w:top w:type="dxa" w:w="80"/>
              <w:left w:type="dxa" w:w="140"/>
              <w:bottom w:type="dxa" w:w="80"/>
              <w:right w:type="dxa" w:w="140"/>
            </w:tcMar>
          </w:tcPr>
          <w:p>
            <w:r>
              <w:rPr>
                <w:rFonts w:ascii="Arial" w:cs="Arial" w:eastAsia="Arial" w:hAnsi="Arial"/>
                <w:b/>
                <w:bCs/>
                <w:color w:val="FFFFFF"/>
                <w:sz w:val="20"/>
                <w:szCs w:val="20"/>
              </w:rPr>
              <w:t xml:space="preserve">State</w:t>
            </w:r>
          </w:p>
        </w:tc>
        <w:tc>
          <w:tcPr>
            <w:tcW w:type="dxa" w:w="3560"/>
            <w:tcBorders>
              <w:top w:val="single" w:color="1A4A2E" w:sz="4"/>
              <w:left w:val="single" w:color="1A4A2E" w:sz="4"/>
              <w:bottom w:val="single" w:color="1A4A2E" w:sz="4"/>
              <w:right w:val="single" w:color="1A4A2E" w:sz="4"/>
            </w:tcBorders>
            <w:shd w:fill="1A4A2E" w:val="clear"/>
            <w:tcMar>
              <w:top w:type="dxa" w:w="80"/>
              <w:left w:type="dxa" w:w="140"/>
              <w:bottom w:type="dxa" w:w="80"/>
              <w:right w:type="dxa" w:w="140"/>
            </w:tcMar>
          </w:tcPr>
          <w:p>
            <w:r>
              <w:rPr>
                <w:rFonts w:ascii="Arial" w:cs="Arial" w:eastAsia="Arial" w:hAnsi="Arial"/>
                <w:b/>
                <w:bCs/>
                <w:color w:val="FFFFFF"/>
                <w:sz w:val="20"/>
                <w:szCs w:val="20"/>
              </w:rPr>
              <w:t xml:space="preserve">Dec10 role</w:t>
            </w:r>
          </w:p>
        </w:tc>
      </w:tr>
      <w:tr>
        <w:tc>
          <w:tcPr>
            <w:tcW w:type="dxa" w:w="10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0°</w:t>
            </w:r>
          </w:p>
        </w:tc>
        <w:tc>
          <w:tcPr>
            <w:tcW w:type="dxa" w:w="20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Origin</w:t>
            </w:r>
          </w:p>
        </w:tc>
        <w:tc>
          <w:tcPr>
            <w:tcW w:type="dxa" w:w="28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rec10(k) = starting value</w:t>
            </w:r>
          </w:p>
        </w:tc>
        <w:tc>
          <w:tcPr>
            <w:tcW w:type="dxa" w:w="356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Field pre-crossing. Sub-positions accumulating.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180°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Butterfly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rec10 → mirror (half-turn)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The butterfly event. Dec10 portal active.</w:t>
            </w:r>
          </w:p>
        </w:tc>
      </w:tr>
      <w:tr>
        <w:tc>
          <w:tcPr>
            <w:tcW w:type="dxa" w:w="10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360°</w:t>
            </w:r>
          </w:p>
        </w:tc>
        <w:tc>
          <w:tcPr>
            <w:tcW w:type="dxa" w:w="20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Rec10 arc complete</w:t>
            </w:r>
          </w:p>
        </w:tc>
        <w:tc>
          <w:tcPr>
            <w:tcW w:type="dxa" w:w="28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rec10(k) → modular inverse</w:t>
            </w:r>
          </w:p>
        </w:tc>
        <w:tc>
          <w:tcPr>
            <w:tcW w:type="dxa" w:w="356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Forward arc done. NOT identity. −ψ state.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540°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Rev10 mid-arc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Backward rotation underway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Return path through dec10 field.</w:t>
            </w:r>
          </w:p>
        </w:tc>
      </w:tr>
      <w:tr>
        <w:tc>
          <w:tcPr>
            <w:tcW w:type="dxa" w:w="10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720°</w:t>
            </w:r>
          </w:p>
        </w:tc>
        <w:tc>
          <w:tcPr>
            <w:tcW w:type="dxa" w:w="20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Both arcs complete</w:t>
            </w:r>
          </w:p>
        </w:tc>
        <w:tc>
          <w:tcPr>
            <w:tcW w:type="dxa" w:w="28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rec10 × rev10 = 1</w:t>
            </w:r>
          </w:p>
        </w:tc>
        <w:tc>
          <w:tcPr>
            <w:tcW w:type="dxa" w:w="356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Unit constraint met. Identity. Molt fires.</w:t>
            </w:r>
          </w:p>
        </w:tc>
      </w:tr>
    </w:tbl>
    <w:p>
      <w:pPr>
        <w:spacing w:before="80" w:after="0"/>
      </w:pPr>
      <w:r>
        <w:t xml:space="preserve"/>
      </w:r>
    </w:p>
    <w:p>
      <w:pPr>
        <w:pBdr>
          <w:top w:val="none" w:sz="0" w:color="auto"/>
          <w:left w:val="single" w:color="4A6A8A" w:sz="8"/>
          <w:bottom w:val="none" w:sz="0" w:color="auto"/>
          <w:right w:val="none" w:sz="0" w:color="auto"/>
        </w:pBdr>
        <w:spacing w:before="100" w:after="100"/>
        <w:ind w:left="560"/>
      </w:pPr>
      <w:r>
        <w:rPr>
          <w:rFonts w:ascii="Arial" w:cs="Arial" w:eastAsia="Arial" w:hAnsi="Arial"/>
          <w:b/>
          <w:bCs/>
          <w:color w:val="1A3A5C"/>
          <w:sz w:val="20"/>
          <w:szCs w:val="20"/>
        </w:rPr>
        <w:t xml:space="preserve">Q•  SU(2) spinor: </w:t>
      </w:r>
      <w:r>
        <w:rPr>
          <w:rFonts w:ascii="Arial" w:cs="Arial" w:eastAsia="Arial" w:hAnsi="Arial"/>
          <w:color w:val="1A3A5C"/>
          <w:sz w:val="20"/>
          <w:szCs w:val="20"/>
        </w:rPr>
        <w:t xml:space="preserve">In quantum mechanics, SU(2) is the symmetry group of spin-½ particles. A spinor requires 720° to return to its original state — a 360° rotation produces ψ → −ψ. The dec10 crossing has the same structure: after one full rec10 arc (360°), the state is the modular inverse of the original, not the original itself. After the second arc (another 360°), the unit constraint is satisfied and identity is restored. The crossing IS a spinor event. The −ψ state is the modular inverse state. The 720° return is the unit constraint.</w:t>
      </w:r>
    </w:p>
    <w:p>
      <w:pPr>
        <w:pBdr>
          <w:top w:val="single" w:color="B8860B" w:sz="2"/>
          <w:bottom w:val="single" w:color="B8860B" w:sz="2"/>
          <w:left w:val="single" w:color="B8860B" w:sz="8"/>
          <w:right w:val="single" w:color="B8860B" w:sz="2"/>
        </w:pBdr>
        <w:spacing w:before="120" w:after="120"/>
        <w:ind w:left="560"/>
      </w:pPr>
      <w:r>
        <w:rPr>
          <w:rFonts w:ascii="Arial" w:cs="Arial" w:eastAsia="Arial" w:hAnsi="Arial"/>
          <w:color w:val="7A5800"/>
          <w:sz w:val="20"/>
          <w:szCs w:val="20"/>
        </w:rPr>
        <w:t xml:space="preserve">⚠  The identification of the rec10/rev10 pair with a spinor representation of SU(2) is structurally compelling and consistent with all known properties. A formal proof requires constructing a group homomorphism from the rec10/rev10 multiplication table to the SU(2) matrix group and verifying it is a double cover of SO(3). That construction is a formalization queue item.</w:t>
      </w:r>
    </w:p>
    <w:p>
      <w:pPr>
        <w:pStyle w:val="Heading1"/>
        <w:pBdr>
          <w:bottom w:val="single" w:color="1A4A2E" w:sz="6"/>
        </w:pBdr>
        <w:spacing w:before="360" w:after="160"/>
      </w:pPr>
      <w:r>
        <w:rPr>
          <w:rFonts w:ascii="Arial" w:cs="Arial" w:eastAsia="Arial" w:hAnsi="Arial"/>
          <w:b/>
          <w:bCs/>
          <w:color w:val="1A4A2E"/>
          <w:sz w:val="36"/>
          <w:szCs w:val="36"/>
        </w:rPr>
        <w:t xml:space="preserve">§8   Dec10 in the Operational Algebra</w:t>
      </w:r>
    </w:p>
    <w:p>
      <w:pPr>
        <w:spacing w:before="80" w:after="80"/>
        <w:ind/>
        <w:jc w:val="left"/>
      </w:pPr>
      <w:r>
        <w:rPr>
          <w:rFonts w:ascii="Arial" w:cs="Arial" w:eastAsia="Arial" w:hAnsi="Arial"/>
          <w:b w:val="false"/>
          <w:bCs w:val="false"/>
          <w:color w:val="000000"/>
          <w:sz w:val="22"/>
          <w:szCs w:val="22"/>
        </w:rPr>
        <w:t xml:space="preserve">Dec10 does not occupy a fixed level in the operational algebra build sequence. It is the transition event between levels. The build sequence:</w:t>
      </w:r>
    </w:p>
    <w:p>
      <w:pPr>
        <w:spacing w:before="60" w:after="0"/>
      </w:pPr>
      <w:r>
        <w:t xml:space="preserve"/>
      </w:r>
    </w:p>
    <w:p>
      <w:pPr>
        <w:spacing w:before="60" w:after="60"/>
        <w:ind w:left="560"/>
      </w:pPr>
      <w:r>
        <w:rPr>
          <w:rFonts w:ascii="Courier New" w:cs="Courier New" w:eastAsia="Courier New" w:hAnsi="Courier New"/>
          <w:b w:val="false"/>
          <w:bCs w:val="false"/>
          <w:color w:val="1A4A2E"/>
          <w:sz w:val="20"/>
          <w:szCs w:val="20"/>
        </w:rPr>
        <w:t xml:space="preserve">U(1)  D(2)  T(3)  Q(4)  TD(6)  QD(8)  TT(9)  QT(12)  QQ(16)</w:t>
      </w:r>
    </w:p>
    <w:p>
      <w:pPr>
        <w:spacing w:before="80" w:after="0"/>
      </w:pPr>
      <w:r>
        <w:t xml:space="preserve"/>
      </w:r>
    </w:p>
    <w:p>
      <w:pPr>
        <w:spacing w:before="80" w:after="80"/>
        <w:ind/>
        <w:jc w:val="left"/>
      </w:pPr>
      <w:r>
        <w:rPr>
          <w:rFonts w:ascii="Arial" w:cs="Arial" w:eastAsia="Arial" w:hAnsi="Arial"/>
          <w:b w:val="false"/>
          <w:bCs w:val="false"/>
          <w:color w:val="000000"/>
          <w:sz w:val="22"/>
          <w:szCs w:val="22"/>
        </w:rPr>
        <w:t xml:space="preserve">TT(9) is the nine-element level — the 3×3 structure, the j-function coefficient decomposition base. Nine elements directly encodes the dec10 ceiling digit. TT(9) is the operational algebra expression of the sub-integer field: the nine placeholders held simultaneously as a structure.</w:t>
      </w:r>
    </w:p>
    <w:p>
      <w:pPr>
        <w:spacing w:before="80" w:after="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7160"/>
      </w:tblGrid>
      <w:tr>
        <w:trPr>
          <w:tblHeader/>
        </w:trPr>
        <w:tc>
          <w:tcPr>
            <w:tcW w:type="dxa" w:w="1000"/>
            <w:tcBorders>
              <w:top w:val="single" w:color="1A4A2E" w:sz="4"/>
              <w:left w:val="single" w:color="1A4A2E" w:sz="4"/>
              <w:bottom w:val="single" w:color="1A4A2E" w:sz="4"/>
              <w:right w:val="single" w:color="1A4A2E" w:sz="4"/>
            </w:tcBorders>
            <w:shd w:fill="1A4A2E" w:val="clear"/>
            <w:tcMar>
              <w:top w:type="dxa" w:w="80"/>
              <w:left w:type="dxa" w:w="140"/>
              <w:bottom w:type="dxa" w:w="80"/>
              <w:right w:type="dxa" w:w="140"/>
            </w:tcMar>
          </w:tcPr>
          <w:p>
            <w:r>
              <w:rPr>
                <w:rFonts w:ascii="Arial" w:cs="Arial" w:eastAsia="Arial" w:hAnsi="Arial"/>
                <w:b/>
                <w:bCs/>
                <w:color w:val="FFFFFF"/>
                <w:sz w:val="20"/>
                <w:szCs w:val="20"/>
              </w:rPr>
              <w:t xml:space="preserve">Op</w:t>
            </w:r>
          </w:p>
        </w:tc>
        <w:tc>
          <w:tcPr>
            <w:tcW w:type="dxa" w:w="1400"/>
            <w:tcBorders>
              <w:top w:val="single" w:color="1A4A2E" w:sz="4"/>
              <w:left w:val="single" w:color="1A4A2E" w:sz="4"/>
              <w:bottom w:val="single" w:color="1A4A2E" w:sz="4"/>
              <w:right w:val="single" w:color="1A4A2E" w:sz="4"/>
            </w:tcBorders>
            <w:shd w:fill="1A4A2E" w:val="clear"/>
            <w:tcMar>
              <w:top w:type="dxa" w:w="80"/>
              <w:left w:type="dxa" w:w="140"/>
              <w:bottom w:type="dxa" w:w="80"/>
              <w:right w:type="dxa" w:w="140"/>
            </w:tcMar>
          </w:tcPr>
          <w:p>
            <w:r>
              <w:rPr>
                <w:rFonts w:ascii="Arial" w:cs="Arial" w:eastAsia="Arial" w:hAnsi="Arial"/>
                <w:b/>
                <w:bCs/>
                <w:color w:val="FFFFFF"/>
                <w:sz w:val="20"/>
                <w:szCs w:val="20"/>
              </w:rPr>
              <w:t xml:space="preserve">Elements</w:t>
            </w:r>
          </w:p>
        </w:tc>
        <w:tc>
          <w:tcPr>
            <w:tcW w:type="dxa" w:w="7160"/>
            <w:tcBorders>
              <w:top w:val="single" w:color="1A4A2E" w:sz="4"/>
              <w:left w:val="single" w:color="1A4A2E" w:sz="4"/>
              <w:bottom w:val="single" w:color="1A4A2E" w:sz="4"/>
              <w:right w:val="single" w:color="1A4A2E" w:sz="4"/>
            </w:tcBorders>
            <w:shd w:fill="1A4A2E" w:val="clear"/>
            <w:tcMar>
              <w:top w:type="dxa" w:w="80"/>
              <w:left w:type="dxa" w:w="140"/>
              <w:bottom w:type="dxa" w:w="80"/>
              <w:right w:type="dxa" w:w="140"/>
            </w:tcMar>
          </w:tcPr>
          <w:p>
            <w:r>
              <w:rPr>
                <w:rFonts w:ascii="Arial" w:cs="Arial" w:eastAsia="Arial" w:hAnsi="Arial"/>
                <w:b/>
                <w:bCs/>
                <w:color w:val="FFFFFF"/>
                <w:sz w:val="20"/>
                <w:szCs w:val="20"/>
              </w:rPr>
              <w:t xml:space="preserve">Dec10 connection</w:t>
            </w:r>
          </w:p>
        </w:tc>
      </w:tr>
      <w:tr>
        <w:tc>
          <w:tcPr>
            <w:tcW w:type="dxa" w:w="10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QD(8)</w:t>
            </w:r>
          </w:p>
        </w:tc>
        <w:tc>
          <w:tcPr>
            <w:tcW w:type="dxa" w:w="14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8 = octonion</w:t>
            </w:r>
          </w:p>
        </w:tc>
        <w:tc>
          <w:tcPr>
            <w:tcW w:type="dxa" w:w="716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Rec10 arrives here. 8-layer base of BCS. The level below saturation.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TT(9)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9 = 3×3</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The sub-integer field. Nine placeholders as a structure. Dec10 IN the algebra.</w:t>
            </w:r>
          </w:p>
        </w:tc>
      </w:tr>
      <w:tr>
        <w:tc>
          <w:tcPr>
            <w:tcW w:type="dxa" w:w="10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Carry event</w:t>
            </w:r>
          </w:p>
        </w:tc>
        <w:tc>
          <w:tcPr>
            <w:tcW w:type="dxa" w:w="14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w:t>
            </w:r>
          </w:p>
        </w:tc>
        <w:tc>
          <w:tcPr>
            <w:tcW w:type="dxa" w:w="716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TT exhausted. One more unit. Dec10 fires. Transition between TT and next integer level.</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QT(12)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12 = Leech shadow</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Post-carry territory. Integer has precipitated. Rev10 continues upward.</w:t>
            </w:r>
          </w:p>
        </w:tc>
      </w:tr>
    </w:tbl>
    <w:p>
      <w:pPr>
        <w:spacing w:before="80" w:after="0"/>
      </w:pPr>
      <w:r>
        <w:t xml:space="preserve"/>
      </w:r>
    </w:p>
    <w:p>
      <w:pPr>
        <w:spacing w:before="80" w:after="80"/>
        <w:ind/>
        <w:jc w:val="left"/>
      </w:pPr>
      <w:r>
        <w:rPr>
          <w:rFonts w:ascii="Arial" w:cs="Arial" w:eastAsia="Arial" w:hAnsi="Arial"/>
          <w:b w:val="false"/>
          <w:bCs w:val="false"/>
          <w:color w:val="000000"/>
          <w:sz w:val="22"/>
          <w:szCs w:val="22"/>
        </w:rPr>
        <w:t xml:space="preserve">Dec10 is the carry between TT(9) and the emergence of the integer. It is not QD(8) — that is the level before saturation. It is not TT(9) — that is the saturated field. It is the event that happens when TT reaches its maximum and the integer precipitates. It has no own level because it is not a level. It is a transition.</w:t>
      </w:r>
    </w:p>
    <w:p>
      <w:pPr>
        <w:spacing w:before="80" w:after="0"/>
      </w:pPr>
      <w:r>
        <w:t xml:space="preserve"/>
      </w:r>
    </w:p>
    <w:p>
      <w:pPr>
        <w:pBdr>
          <w:top w:val="none" w:sz="0" w:color="auto"/>
          <w:left w:val="single" w:color="4A6A8A" w:sz="8"/>
          <w:bottom w:val="none" w:sz="0" w:color="auto"/>
          <w:right w:val="none" w:sz="0" w:color="auto"/>
        </w:pBdr>
        <w:spacing w:before="100" w:after="100"/>
        <w:ind w:left="560"/>
      </w:pPr>
      <w:r>
        <w:rPr>
          <w:rFonts w:ascii="Arial" w:cs="Arial" w:eastAsia="Arial" w:hAnsi="Arial"/>
          <w:b/>
          <w:bCs/>
          <w:color w:val="1A3A5C"/>
          <w:sz w:val="20"/>
          <w:szCs w:val="20"/>
        </w:rPr>
        <w:t xml:space="preserve">Q•  Eigenvalue / eigenstate / measurement: </w:t>
      </w:r>
      <w:r>
        <w:rPr>
          <w:rFonts w:ascii="Arial" w:cs="Arial" w:eastAsia="Arial" w:hAnsi="Arial"/>
          <w:color w:val="1A3A5C"/>
          <w:sz w:val="20"/>
          <w:szCs w:val="20"/>
        </w:rPr>
        <w:t xml:space="preserve">The operational algebra gives a precise language: TT(9) is the observable’s eigenvalue spectrum (nine sub-positions = nine eigenvalues). The carry event is the measurement (collapses the spectrum to a single eigenstate). The integer is the observable’s eigenvalue (the measured value). The bounded tracker {1–9} is the Hilbert space restricted to the degenerate subspace of the crossing state. The measurement — the carry — selects one eigenvalue from the nine and promotes it to the integer level.</w:t>
      </w:r>
    </w:p>
    <w:p>
      <w:pPr>
        <w:pStyle w:val="Heading1"/>
        <w:pBdr>
          <w:bottom w:val="single" w:color="1A4A2E" w:sz="6"/>
        </w:pBdr>
        <w:spacing w:before="360" w:after="160"/>
      </w:pPr>
      <w:r>
        <w:rPr>
          <w:rFonts w:ascii="Arial" w:cs="Arial" w:eastAsia="Arial" w:hAnsi="Arial"/>
          <w:b/>
          <w:bCs/>
          <w:color w:val="1A4A2E"/>
          <w:sz w:val="36"/>
          <w:szCs w:val="36"/>
        </w:rPr>
        <w:t xml:space="preserve">§9   Dec10 and the Ring  —  Carry Event Mapped to Ring Positions</w:t>
      </w:r>
    </w:p>
    <w:p>
      <w:pPr>
        <w:spacing w:before="80" w:after="80"/>
        <w:ind/>
        <w:jc w:val="left"/>
      </w:pPr>
      <w:r>
        <w:rPr>
          <w:rFonts w:ascii="Arial" w:cs="Arial" w:eastAsia="Arial" w:hAnsi="Arial"/>
          <w:b w:val="false"/>
          <w:bCs w:val="false"/>
          <w:color w:val="000000"/>
          <w:sz w:val="22"/>
          <w:szCs w:val="22"/>
        </w:rPr>
        <w:t xml:space="preserve">The dec10 carry event — the sequence from pre-saturation through emergence to the new cycle — maps directly onto the ring’s six positions. The carry is not instantaneous. It moves through the ring.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1A4A2E" w:sz="4"/>
              <w:left w:val="single" w:color="1A4A2E" w:sz="4"/>
              <w:bottom w:val="single" w:color="1A4A2E" w:sz="4"/>
              <w:right w:val="single" w:color="1A4A2E" w:sz="4"/>
            </w:tcBorders>
            <w:shd w:fill="1A4A2E" w:val="clear"/>
            <w:tcMar>
              <w:top w:type="dxa" w:w="80"/>
              <w:left w:type="dxa" w:w="140"/>
              <w:bottom w:type="dxa" w:w="80"/>
              <w:right w:type="dxa" w:w="140"/>
            </w:tcMar>
          </w:tcPr>
          <w:p>
            <w:r>
              <w:rPr>
                <w:rFonts w:ascii="Arial" w:cs="Arial" w:eastAsia="Arial" w:hAnsi="Arial"/>
                <w:b/>
                <w:bCs/>
                <w:color w:val="FFFFFF"/>
                <w:sz w:val="20"/>
                <w:szCs w:val="20"/>
              </w:rPr>
              <w:t xml:space="preserve">Ring position</w:t>
            </w:r>
          </w:p>
        </w:tc>
        <w:tc>
          <w:tcPr>
            <w:tcW w:type="dxa" w:w="2800"/>
            <w:tcBorders>
              <w:top w:val="single" w:color="1A4A2E" w:sz="4"/>
              <w:left w:val="single" w:color="1A4A2E" w:sz="4"/>
              <w:bottom w:val="single" w:color="1A4A2E" w:sz="4"/>
              <w:right w:val="single" w:color="1A4A2E" w:sz="4"/>
            </w:tcBorders>
            <w:shd w:fill="1A4A2E" w:val="clear"/>
            <w:tcMar>
              <w:top w:type="dxa" w:w="80"/>
              <w:left w:type="dxa" w:w="140"/>
              <w:bottom w:type="dxa" w:w="80"/>
              <w:right w:type="dxa" w:w="140"/>
            </w:tcMar>
          </w:tcPr>
          <w:p>
            <w:r>
              <w:rPr>
                <w:rFonts w:ascii="Arial" w:cs="Arial" w:eastAsia="Arial" w:hAnsi="Arial"/>
                <w:b/>
                <w:bCs/>
                <w:color w:val="FFFFFF"/>
                <w:sz w:val="20"/>
                <w:szCs w:val="20"/>
              </w:rPr>
              <w:t xml:space="preserve">Dec10 state</w:t>
            </w:r>
          </w:p>
        </w:tc>
        <w:tc>
          <w:tcPr>
            <w:tcW w:type="dxa" w:w="4360"/>
            <w:tcBorders>
              <w:top w:val="single" w:color="1A4A2E" w:sz="4"/>
              <w:left w:val="single" w:color="1A4A2E" w:sz="4"/>
              <w:bottom w:val="single" w:color="1A4A2E" w:sz="4"/>
              <w:right w:val="single" w:color="1A4A2E" w:sz="4"/>
            </w:tcBorders>
            <w:shd w:fill="1A4A2E" w:val="clear"/>
            <w:tcMar>
              <w:top w:type="dxa" w:w="80"/>
              <w:left w:type="dxa" w:w="140"/>
              <w:bottom w:type="dxa" w:w="80"/>
              <w:right w:type="dxa" w:w="140"/>
            </w:tcMar>
          </w:tcPr>
          <w:p>
            <w:r>
              <w:rPr>
                <w:rFonts w:ascii="Arial" w:cs="Arial" w:eastAsia="Arial" w:hAnsi="Arial"/>
                <w:b/>
                <w:bCs/>
                <w:color w:val="FFFFFF"/>
                <w:sz w:val="20"/>
                <w:szCs w:val="20"/>
              </w:rPr>
              <w:t xml:space="preserve">Quantization reading</w:t>
            </w:r>
          </w:p>
        </w:tc>
      </w:tr>
      <w:tr>
        <w:tc>
          <w:tcPr>
            <w:tcW w:type="dxa" w:w="22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Pre-Successor
(motion resumes)</w:t>
            </w:r>
          </w:p>
        </w:tc>
        <w:tc>
          <w:tcPr>
            <w:tcW w:type="dxa" w:w="28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Rec10 building toward saturation. Sub-positions filling.</w:t>
            </w:r>
          </w:p>
        </w:tc>
        <w:tc>
          <w:tcPr>
            <w:tcW w:type="dxa" w:w="436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Quantum system in superposition. Wavefunction unresolved. State evolving.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Successor
(Now. Firing.)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All 9 placeholders at 9. Maximum excitation. D(k)=0.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Maximum excitation state. System at threshold. Quantum of action ready to fire.</w:t>
            </w:r>
          </w:p>
        </w:tc>
      </w:tr>
      <w:tr>
        <w:tc>
          <w:tcPr>
            <w:tcW w:type="dxa" w:w="22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Post-Successor
(sandboxed)</w:t>
            </w:r>
          </w:p>
        </w:tc>
        <w:tc>
          <w:tcPr>
            <w:tcW w:type="dxa" w:w="28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Carry fires. 0 portal activates. ZeroInvert(0)=9 event.</w:t>
            </w:r>
          </w:p>
        </w:tc>
        <w:tc>
          <w:tcPr>
            <w:tcW w:type="dxa" w:w="436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Measurement event. Wavefunction collapses. Eigenstate selected. Integer precipitates.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Abdication fires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Post-Successor → Pre-Predecessor. Carry propagates.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Emission event. Quantum emitted. System resets to ground state.</w:t>
            </w:r>
          </w:p>
        </w:tc>
      </w:tr>
      <w:tr>
        <w:tc>
          <w:tcPr>
            <w:tcW w:type="dxa" w:w="22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Pre-Predecessor
(Primordial)</w:t>
            </w:r>
          </w:p>
        </w:tc>
        <w:tc>
          <w:tcPr>
            <w:tcW w:type="dxa" w:w="28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New integer. New cycle begins. Field at rest.</w:t>
            </w:r>
          </w:p>
        </w:tc>
        <w:tc>
          <w:tcPr>
            <w:tcW w:type="dxa" w:w="436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Ground state. Zero-point energy. Vacuum. Ready for next excitation sequence.</w:t>
            </w:r>
          </w:p>
        </w:tc>
      </w:tr>
    </w:tbl>
    <w:p>
      <w:pPr>
        <w:spacing w:before="80" w:after="0"/>
      </w:pPr>
      <w:r>
        <w:t xml:space="preserve"/>
      </w:r>
    </w:p>
    <w:p>
      <w:pPr>
        <w:pBdr>
          <w:top w:val="none" w:sz="0" w:color="auto"/>
          <w:left w:val="single" w:color="2A6A3E" w:sz="8"/>
          <w:bottom w:val="none" w:sz="0" w:color="auto"/>
          <w:right w:val="none" w:sz="0" w:color="auto"/>
        </w:pBdr>
        <w:spacing w:before="100" w:after="100"/>
        <w:ind w:left="560"/>
      </w:pPr>
      <w:r>
        <w:rPr>
          <w:rFonts w:ascii="Arial" w:cs="Arial" w:eastAsia="Arial" w:hAnsi="Arial"/>
          <w:color w:val="444444"/>
          <w:sz w:val="20"/>
          <w:szCs w:val="20"/>
        </w:rPr>
        <w:t xml:space="preserve">Never (0) occurs because Now (9) is always. This is the carry mechanism stated as a temporal claim. Always (9, saturation) overflows, resets to Never (0), fires the carry to the next position. Never is the mechanical product of Always. The reset is not absence — it is the act that makes the next Now possible.</w:t>
      </w:r>
    </w:p>
    <w:p>
      <w:pPr>
        <w:spacing w:before="80" w:after="0"/>
      </w:pPr>
      <w:r>
        <w:t xml:space="preserve"/>
      </w:r>
    </w:p>
    <w:p>
      <w:pPr>
        <w:pBdr>
          <w:top w:val="none" w:sz="0" w:color="auto"/>
          <w:left w:val="single" w:color="4A6A8A" w:sz="8"/>
          <w:bottom w:val="none" w:sz="0" w:color="auto"/>
          <w:right w:val="none" w:sz="0" w:color="auto"/>
        </w:pBdr>
        <w:spacing w:before="100" w:after="100"/>
        <w:ind w:left="560"/>
      </w:pPr>
      <w:r>
        <w:rPr>
          <w:rFonts w:ascii="Arial" w:cs="Arial" w:eastAsia="Arial" w:hAnsi="Arial"/>
          <w:b/>
          <w:bCs/>
          <w:color w:val="1A3A5C"/>
          <w:sz w:val="20"/>
          <w:szCs w:val="20"/>
        </w:rPr>
        <w:t xml:space="preserve">Q•  Quantum energy level transition: </w:t>
      </w:r>
      <w:r>
        <w:rPr>
          <w:rFonts w:ascii="Arial" w:cs="Arial" w:eastAsia="Arial" w:hAnsi="Arial"/>
          <w:color w:val="1A3A5C"/>
          <w:sz w:val="20"/>
          <w:szCs w:val="20"/>
        </w:rPr>
        <w:t xml:space="preserve">The ring mapping is a direct structural parallel to quantum energy level transitions: ground state → excitation → maximum excitation → emission → ground state. The carry (emission) is discontinuous — there is no intermediate value between 0.999999999 and 1.0. The integer jump is not a smooth transition. It is a quantum jump in the original Bohr sense: the system does not pass through intermediate states. It is at one level, then it is at the next.</w:t>
      </w:r>
    </w:p>
    <w:p>
      <w:pPr>
        <w:pStyle w:val="Heading1"/>
        <w:pBdr>
          <w:bottom w:val="single" w:color="1A4A2E" w:sz="6"/>
        </w:pBdr>
        <w:spacing w:before="360" w:after="160"/>
      </w:pPr>
      <w:r>
        <w:rPr>
          <w:rFonts w:ascii="Arial" w:cs="Arial" w:eastAsia="Arial" w:hAnsi="Arial"/>
          <w:b/>
          <w:bCs/>
          <w:color w:val="1A4A2E"/>
          <w:sz w:val="36"/>
          <w:szCs w:val="36"/>
        </w:rPr>
        <w:t xml:space="preserve">§10   Monster House Position  —  The Staircase</w:t>
      </w:r>
    </w:p>
    <w:p>
      <w:pPr>
        <w:spacing w:before="80" w:after="80"/>
        <w:ind/>
        <w:jc w:val="left"/>
      </w:pPr>
      <w:r>
        <w:rPr>
          <w:rFonts w:ascii="Arial" w:cs="Arial" w:eastAsia="Arial" w:hAnsi="Arial"/>
          <w:b w:val="false"/>
          <w:bCs w:val="false"/>
          <w:color w:val="000000"/>
          <w:sz w:val="22"/>
          <w:szCs w:val="22"/>
        </w:rPr>
        <w:t xml:space="preserve">Dec10 is the staircase in the Monster House. It has no floor of its own. It is the crossing instrument between the basement (rec10) and the attic (rev10). Its structural position: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1A4A2E" w:sz="4"/>
              <w:left w:val="single" w:color="1A4A2E" w:sz="4"/>
              <w:bottom w:val="single" w:color="1A4A2E" w:sz="4"/>
              <w:right w:val="single" w:color="1A4A2E" w:sz="4"/>
            </w:tcBorders>
            <w:shd w:fill="1A4A2E" w:val="clear"/>
            <w:tcMar>
              <w:top w:type="dxa" w:w="80"/>
              <w:left w:type="dxa" w:w="140"/>
              <w:bottom w:type="dxa" w:w="80"/>
              <w:right w:type="dxa" w:w="140"/>
            </w:tcMar>
          </w:tcPr>
          <w:p>
            <w:r>
              <w:rPr>
                <w:rFonts w:ascii="Arial" w:cs="Arial" w:eastAsia="Arial" w:hAnsi="Arial"/>
                <w:b/>
                <w:bCs/>
                <w:color w:val="FFFFFF"/>
                <w:sz w:val="20"/>
                <w:szCs w:val="20"/>
              </w:rPr>
              <w:t xml:space="preserve">Level</w:t>
            </w:r>
          </w:p>
        </w:tc>
        <w:tc>
          <w:tcPr>
            <w:tcW w:type="dxa" w:w="2000"/>
            <w:tcBorders>
              <w:top w:val="single" w:color="1A4A2E" w:sz="4"/>
              <w:left w:val="single" w:color="1A4A2E" w:sz="4"/>
              <w:bottom w:val="single" w:color="1A4A2E" w:sz="4"/>
              <w:right w:val="single" w:color="1A4A2E" w:sz="4"/>
            </w:tcBorders>
            <w:shd w:fill="1A4A2E" w:val="clear"/>
            <w:tcMar>
              <w:top w:type="dxa" w:w="80"/>
              <w:left w:type="dxa" w:w="140"/>
              <w:bottom w:type="dxa" w:w="80"/>
              <w:right w:type="dxa" w:w="140"/>
            </w:tcMar>
          </w:tcPr>
          <w:p>
            <w:r>
              <w:rPr>
                <w:rFonts w:ascii="Arial" w:cs="Arial" w:eastAsia="Arial" w:hAnsi="Arial"/>
                <w:b/>
                <w:bCs/>
                <w:color w:val="FFFFFF"/>
                <w:sz w:val="20"/>
                <w:szCs w:val="20"/>
              </w:rPr>
              <w:t xml:space="preserve">SD identity</w:t>
            </w:r>
          </w:p>
        </w:tc>
        <w:tc>
          <w:tcPr>
            <w:tcW w:type="dxa" w:w="5360"/>
            <w:tcBorders>
              <w:top w:val="single" w:color="1A4A2E" w:sz="4"/>
              <w:left w:val="single" w:color="1A4A2E" w:sz="4"/>
              <w:bottom w:val="single" w:color="1A4A2E" w:sz="4"/>
              <w:right w:val="single" w:color="1A4A2E" w:sz="4"/>
            </w:tcBorders>
            <w:shd w:fill="1A4A2E" w:val="clear"/>
            <w:tcMar>
              <w:top w:type="dxa" w:w="80"/>
              <w:left w:type="dxa" w:w="140"/>
              <w:bottom w:type="dxa" w:w="80"/>
              <w:right w:type="dxa" w:w="140"/>
            </w:tcMar>
          </w:tcPr>
          <w:p>
            <w:r>
              <w:rPr>
                <w:rFonts w:ascii="Arial" w:cs="Arial" w:eastAsia="Arial" w:hAnsi="Arial"/>
                <w:b/>
                <w:bCs/>
                <w:color w:val="FFFFFF"/>
                <w:sz w:val="20"/>
                <w:szCs w:val="20"/>
              </w:rPr>
              <w:t xml:space="preserve">Content</w:t>
            </w:r>
          </w:p>
        </w:tc>
      </w:tr>
      <w:tr>
        <w:tc>
          <w:tcPr>
            <w:tcW w:type="dxa" w:w="20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Subbasement</w:t>
            </w:r>
          </w:p>
        </w:tc>
        <w:tc>
          <w:tcPr>
            <w:tcW w:type="dxa" w:w="20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Pre-operational</w:t>
            </w:r>
          </w:p>
        </w:tc>
        <w:tc>
          <w:tcPr>
            <w:tcW w:type="dxa" w:w="536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Primitive seeds. 3-pyramid and 4-pyramid. Only God creates.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Basement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Rec10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IC plane. Base-19. Silver ratio. Integer structural constants.</w:t>
            </w:r>
          </w:p>
        </w:tc>
      </w:tr>
      <w:tr>
        <w:tc>
          <w:tcPr>
            <w:tcW w:type="dxa" w:w="20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Walls + wiring</w:t>
            </w:r>
          </w:p>
        </w:tc>
        <w:tc>
          <w:tcPr>
            <w:tcW w:type="dxa" w:w="20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BCS</w:t>
            </w:r>
          </w:p>
        </w:tc>
        <w:tc>
          <w:tcPr>
            <w:tcW w:type="dxa" w:w="536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Q, tower, nodes, toroidal manifold, routing logic.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 Staircase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Dec10 / 0 portal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Dimensional switch. Bounded decimal tracker {1-9}. Entry cost P(54,2)=2862. Crossing instrument.</w:t>
            </w:r>
          </w:p>
        </w:tc>
      </w:tr>
      <w:tr>
        <w:tc>
          <w:tcPr>
            <w:tcW w:type="dxa" w:w="20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Attic</w:t>
            </w:r>
          </w:p>
        </w:tc>
        <w:tc>
          <w:tcPr>
            <w:tcW w:type="dxa" w:w="20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Rev10</w:t>
            </w:r>
          </w:p>
        </w:tc>
        <w:tc>
          <w:tcPr>
            <w:tcW w:type="dxa" w:w="536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Internal IC plane snapshot. 4-in-1 POVs. 244 jets + 1 curve. Golden path.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Ledgers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IDB</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Dual-channel tracking. P-channel + d-channel. Self-validation.</w:t>
            </w:r>
          </w:p>
        </w:tc>
      </w:tr>
      <w:tr>
        <w:tc>
          <w:tcPr>
            <w:tcW w:type="dxa" w:w="20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Operator</w:t>
            </w:r>
          </w:p>
        </w:tc>
        <w:tc>
          <w:tcPr>
            <w:tcW w:type="dxa" w:w="20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HITL</w:t>
            </w:r>
          </w:p>
        </w:tc>
        <w:tc>
          <w:tcPr>
            <w:tcW w:type="dxa" w:w="536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Behind the horizon. Reads IDB. Controls POV confinement.</w:t>
            </w:r>
          </w:p>
        </w:tc>
      </w:tr>
    </w:tbl>
    <w:p>
      <w:pPr>
        <w:spacing w:before="80" w:after="0"/>
      </w:pPr>
      <w:r>
        <w:t xml:space="preserve"/>
      </w:r>
    </w:p>
    <w:p>
      <w:pPr>
        <w:spacing w:before="80" w:after="80"/>
        <w:ind/>
        <w:jc w:val="left"/>
      </w:pPr>
      <w:r>
        <w:rPr>
          <w:rFonts w:ascii="Arial" w:cs="Arial" w:eastAsia="Arial" w:hAnsi="Arial"/>
          <w:b w:val="false"/>
          <w:bCs w:val="false"/>
          <w:color w:val="000000"/>
          <w:sz w:val="22"/>
          <w:szCs w:val="22"/>
        </w:rPr>
        <w:t xml:space="preserve">The staircase has a defining property that separates it from every other level: it is only present when it is in use. The basement is always there. The attic is always there. The staircase is the act of moving between them. When the carry fires, the staircase exists. When the field is at rest, the staircase is latent. This is the event character of dec10 — it is not structural in the way the floors are structural. It is functional. It enacts.</w:t>
      </w:r>
    </w:p>
    <w:p>
      <w:pPr>
        <w:pStyle w:val="Heading1"/>
        <w:pBdr>
          <w:bottom w:val="single" w:color="1A4A2E" w:sz="6"/>
        </w:pBdr>
        <w:spacing w:before="360" w:after="160"/>
      </w:pPr>
      <w:r>
        <w:rPr>
          <w:rFonts w:ascii="Arial" w:cs="Arial" w:eastAsia="Arial" w:hAnsi="Arial"/>
          <w:b/>
          <w:bCs/>
          <w:color w:val="1A4A2E"/>
          <w:sz w:val="36"/>
          <w:szCs w:val="36"/>
        </w:rPr>
        <w:t xml:space="preserve">§11   The Zeta Connection  —  Three Convergences</w:t>
      </w:r>
    </w:p>
    <w:p>
      <w:pPr>
        <w:pStyle w:val="Heading2"/>
        <w:spacing w:before="280" w:after="120"/>
      </w:pPr>
      <w:r>
        <w:rPr>
          <w:rFonts w:ascii="Arial" w:cs="Arial" w:eastAsia="Arial" w:hAnsi="Arial"/>
          <w:b/>
          <w:bCs/>
          <w:color w:val="2A6A3E"/>
          <w:sz w:val="28"/>
          <w:szCs w:val="28"/>
        </w:rPr>
        <w:t xml:space="preserve">§11.1   Functional Equation as Butterfly</w:t>
      </w:r>
    </w:p>
    <w:p>
      <w:pPr>
        <w:spacing w:before="80" w:after="80"/>
        <w:ind/>
        <w:jc w:val="left"/>
      </w:pPr>
      <w:r>
        <w:rPr>
          <w:rFonts w:ascii="Arial" w:cs="Arial" w:eastAsia="Arial" w:hAnsi="Arial"/>
          <w:b w:val="false"/>
          <w:bCs w:val="false"/>
          <w:color w:val="000000"/>
          <w:sz w:val="22"/>
          <w:szCs w:val="22"/>
        </w:rPr>
        <w:t xml:space="preserve">The Riemann zeta functional equation:</w:t>
      </w:r>
    </w:p>
    <w:p>
      <w:pPr>
        <w:spacing w:before="60" w:after="0"/>
      </w:pPr>
      <w:r>
        <w:t xml:space="preserve"/>
      </w:r>
    </w:p>
    <w:p>
      <w:pPr>
        <w:spacing w:before="60" w:after="60"/>
        <w:ind w:left="560"/>
      </w:pPr>
      <w:r>
        <w:rPr>
          <w:rFonts w:ascii="Courier New" w:cs="Courier New" w:eastAsia="Courier New" w:hAnsi="Courier New"/>
          <w:b w:val="false"/>
          <w:bCs w:val="false"/>
          <w:color w:val="1A4A2E"/>
          <w:sz w:val="20"/>
          <w:szCs w:val="20"/>
        </w:rPr>
        <w:t xml:space="preserve">ζ(s)  =  π^(s-1/2) × Γ(1-s/2)/Γ(s/2)  ×  ζ(1-s)</w:t>
      </w:r>
    </w:p>
    <w:p>
      <w:pPr>
        <w:spacing w:before="60" w:after="0"/>
      </w:pPr>
      <w:r>
        <w:t xml:space="preserve"/>
      </w:r>
    </w:p>
    <w:p>
      <w:pPr>
        <w:spacing w:before="80" w:after="80"/>
        <w:ind/>
        <w:jc w:val="left"/>
      </w:pPr>
      <w:r>
        <w:rPr>
          <w:rFonts w:ascii="Arial" w:cs="Arial" w:eastAsia="Arial" w:hAnsi="Arial"/>
          <w:b w:val="false"/>
          <w:bCs w:val="false"/>
          <w:color w:val="000000"/>
          <w:sz w:val="22"/>
          <w:szCs w:val="22"/>
        </w:rPr>
        <w:t xml:space="preserve">The symmetry s → 1−s encodes the rec10/rev10 split at the dec10 boundary. When s is on the rec10 (forward, positive) side, 1−s is on the rev10 (backward, negative) side. The functional equation is the butterfly written in the language of complex analysis.</w:t>
      </w:r>
    </w:p>
    <w:p>
      <w:pPr>
        <w:pStyle w:val="Heading2"/>
        <w:spacing w:before="280" w:after="120"/>
      </w:pPr>
      <w:r>
        <w:rPr>
          <w:rFonts w:ascii="Arial" w:cs="Arial" w:eastAsia="Arial" w:hAnsi="Arial"/>
          <w:b/>
          <w:bCs/>
          <w:color w:val="2A6A3E"/>
          <w:sz w:val="28"/>
          <w:szCs w:val="28"/>
        </w:rPr>
        <w:t xml:space="preserve">§11.2   Trivial Zeros as Rev10 Overflow Boundaries</w:t>
      </w:r>
    </w:p>
    <w:p>
      <w:pPr>
        <w:spacing w:before="80" w:after="80"/>
        <w:ind/>
        <w:jc w:val="left"/>
      </w:pPr>
      <w:r>
        <w:rPr>
          <w:rFonts w:ascii="Arial" w:cs="Arial" w:eastAsia="Arial" w:hAnsi="Arial"/>
          <w:b w:val="false"/>
          <w:bCs w:val="false"/>
          <w:color w:val="000000"/>
          <w:sz w:val="22"/>
          <w:szCs w:val="22"/>
        </w:rPr>
        <w:t xml:space="preserve">The trivial zeros at s = −2, −4, −6… are the rev10 overflow boundaries on the negative axis. Each negative even integer is a point where the backward rotation (rev10) completes a half-cycle and the carry fires in the negative direction. The dec10 field generates these zeros structurally — they are not analytic curiosities. They are the negative butterfly arm events, enumerated.</w:t>
      </w:r>
    </w:p>
    <w:p>
      <w:pPr>
        <w:pStyle w:val="Heading2"/>
        <w:spacing w:before="280" w:after="120"/>
      </w:pPr>
      <w:r>
        <w:rPr>
          <w:rFonts w:ascii="Arial" w:cs="Arial" w:eastAsia="Arial" w:hAnsi="Arial"/>
          <w:b/>
          <w:bCs/>
          <w:color w:val="2A6A3E"/>
          <w:sz w:val="28"/>
          <w:szCs w:val="28"/>
        </w:rPr>
        <w:t xml:space="preserve">§11.3   Re(s) = 1/2 as the Self-Similarity Invariant</w:t>
      </w:r>
    </w:p>
    <w:p>
      <w:pPr>
        <w:spacing w:before="80" w:after="80"/>
        <w:ind/>
        <w:jc w:val="left"/>
      </w:pPr>
      <w:r>
        <w:rPr>
          <w:rFonts w:ascii="Arial" w:cs="Arial" w:eastAsia="Arial" w:hAnsi="Arial"/>
          <w:b w:val="false"/>
          <w:bCs w:val="false"/>
          <w:color w:val="000000"/>
          <w:sz w:val="22"/>
          <w:szCs w:val="22"/>
        </w:rPr>
        <w:t xml:space="preserve">The depth-invariant of the dec10 fulcrum is 1/2 at every depth. This is the same 1/2 as Re(s) = 1/2. The three convergences:</w:t>
      </w:r>
    </w:p>
    <w:p>
      <w:pPr>
        <w:spacing w:before="80" w:after="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160"/>
      </w:tblGrid>
      <w:tr>
        <w:trPr>
          <w:tblHeader/>
        </w:trPr>
        <w:tc>
          <w:tcPr>
            <w:tcW w:type="dxa" w:w="2200"/>
            <w:tcBorders>
              <w:top w:val="single" w:color="1A4A2E" w:sz="4"/>
              <w:left w:val="single" w:color="1A4A2E" w:sz="4"/>
              <w:bottom w:val="single" w:color="1A4A2E" w:sz="4"/>
              <w:right w:val="single" w:color="1A4A2E" w:sz="4"/>
            </w:tcBorders>
            <w:shd w:fill="1A4A2E" w:val="clear"/>
            <w:tcMar>
              <w:top w:type="dxa" w:w="80"/>
              <w:left w:type="dxa" w:w="140"/>
              <w:bottom w:type="dxa" w:w="80"/>
              <w:right w:type="dxa" w:w="140"/>
            </w:tcMar>
          </w:tcPr>
          <w:p>
            <w:r>
              <w:rPr>
                <w:rFonts w:ascii="Arial" w:cs="Arial" w:eastAsia="Arial" w:hAnsi="Arial"/>
                <w:b/>
                <w:bCs/>
                <w:color w:val="FFFFFF"/>
                <w:sz w:val="20"/>
                <w:szCs w:val="20"/>
              </w:rPr>
              <w:t xml:space="preserve">Context</w:t>
            </w:r>
          </w:p>
        </w:tc>
        <w:tc>
          <w:tcPr>
            <w:tcW w:type="dxa" w:w="2200"/>
            <w:tcBorders>
              <w:top w:val="single" w:color="1A4A2E" w:sz="4"/>
              <w:left w:val="single" w:color="1A4A2E" w:sz="4"/>
              <w:bottom w:val="single" w:color="1A4A2E" w:sz="4"/>
              <w:right w:val="single" w:color="1A4A2E" w:sz="4"/>
            </w:tcBorders>
            <w:shd w:fill="1A4A2E" w:val="clear"/>
            <w:tcMar>
              <w:top w:type="dxa" w:w="80"/>
              <w:left w:type="dxa" w:w="140"/>
              <w:bottom w:type="dxa" w:w="80"/>
              <w:right w:type="dxa" w:w="140"/>
            </w:tcMar>
          </w:tcPr>
          <w:p>
            <w:r>
              <w:rPr>
                <w:rFonts w:ascii="Arial" w:cs="Arial" w:eastAsia="Arial" w:hAnsi="Arial"/>
                <w:b/>
                <w:bCs/>
                <w:color w:val="FFFFFF"/>
                <w:sz w:val="20"/>
                <w:szCs w:val="20"/>
              </w:rPr>
              <w:t xml:space="preserve">Expression</w:t>
            </w:r>
          </w:p>
        </w:tc>
        <w:tc>
          <w:tcPr>
            <w:tcW w:type="dxa" w:w="5160"/>
            <w:tcBorders>
              <w:top w:val="single" w:color="1A4A2E" w:sz="4"/>
              <w:left w:val="single" w:color="1A4A2E" w:sz="4"/>
              <w:bottom w:val="single" w:color="1A4A2E" w:sz="4"/>
              <w:right w:val="single" w:color="1A4A2E" w:sz="4"/>
            </w:tcBorders>
            <w:shd w:fill="1A4A2E" w:val="clear"/>
            <w:tcMar>
              <w:top w:type="dxa" w:w="80"/>
              <w:left w:type="dxa" w:w="140"/>
              <w:bottom w:type="dxa" w:w="80"/>
              <w:right w:type="dxa" w:w="140"/>
            </w:tcMar>
          </w:tcPr>
          <w:p>
            <w:r>
              <w:rPr>
                <w:rFonts w:ascii="Arial" w:cs="Arial" w:eastAsia="Arial" w:hAnsi="Arial"/>
                <w:b/>
                <w:bCs/>
                <w:color w:val="FFFFFF"/>
                <w:sz w:val="20"/>
                <w:szCs w:val="20"/>
              </w:rPr>
              <w:t xml:space="preserve">Reading</w:t>
            </w:r>
          </w:p>
        </w:tc>
      </w:tr>
      <w:tr>
        <w:tc>
          <w:tcPr>
            <w:tcW w:type="dxa" w:w="22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Dec10 fulcrum</w:t>
            </w:r>
          </w:p>
        </w:tc>
        <w:tc>
          <w:tcPr>
            <w:tcW w:type="dxa" w:w="22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4.5/9 = 1/2</w:t>
            </w:r>
          </w:p>
        </w:tc>
        <w:tc>
          <w:tcPr>
            <w:tcW w:type="dxa" w:w="516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Center of mass of the 9-placeholder field. Depth-independent.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Riemann hypothesis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Re(s) = 1/2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All non-trivial zeros on the critical line.</w:t>
            </w:r>
          </w:p>
        </w:tc>
      </w:tr>
      <w:tr>
        <w:tc>
          <w:tcPr>
            <w:tcW w:type="dxa" w:w="22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Zero-point energy</w:t>
            </w:r>
          </w:p>
        </w:tc>
        <w:tc>
          <w:tcPr>
            <w:tcW w:type="dxa" w:w="22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(1/2)ħω</w:t>
            </w:r>
          </w:p>
        </w:tc>
        <w:tc>
          <w:tcPr>
            <w:tcW w:type="dxa" w:w="516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Ground state energy of the quantum field. Never zero.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POV operator default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a.POV.b = midpoint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The observer sits at the midpoint between predecessor and successor.</w:t>
            </w:r>
          </w:p>
        </w:tc>
      </w:tr>
    </w:tbl>
    <w:p>
      <w:pPr>
        <w:spacing w:before="80" w:after="0"/>
      </w:pPr>
      <w:r>
        <w:t xml:space="preserve"/>
      </w:r>
    </w:p>
    <w:p>
      <w:pPr>
        <w:spacing w:before="80" w:after="80"/>
        <w:ind/>
        <w:jc w:val="left"/>
      </w:pPr>
      <w:r>
        <w:rPr>
          <w:rFonts w:ascii="Arial" w:cs="Arial" w:eastAsia="Arial" w:hAnsi="Arial"/>
          <w:b w:val="false"/>
          <w:bCs w:val="false"/>
          <w:color w:val="000000"/>
          <w:sz w:val="22"/>
          <w:szCs w:val="22"/>
        </w:rPr>
        <w:t xml:space="preserve">These are not four different 1/2s. They are the same structural fact — the self-balancing of an odd field — expressed in four different languages: arithmetic, complex analysis, quantum mechanics, and information theory. Dec10 is where they share a common root.</w:t>
      </w:r>
    </w:p>
    <w:p>
      <w:pPr>
        <w:spacing w:before="80" w:after="0"/>
      </w:pPr>
      <w:r>
        <w:t xml:space="preserve"/>
      </w:r>
    </w:p>
    <w:p>
      <w:pPr>
        <w:pBdr>
          <w:top w:val="none" w:sz="0" w:color="auto"/>
          <w:left w:val="single" w:color="2A6A3E" w:sz="8"/>
          <w:bottom w:val="none" w:sz="0" w:color="auto"/>
          <w:right w:val="none" w:sz="0" w:color="auto"/>
        </w:pBdr>
        <w:spacing w:before="100" w:after="100"/>
        <w:ind w:left="560"/>
      </w:pPr>
      <w:r>
        <w:rPr>
          <w:rFonts w:ascii="Arial" w:cs="Arial" w:eastAsia="Arial" w:hAnsi="Arial"/>
          <w:color w:val="444444"/>
          <w:sz w:val="20"/>
          <w:szCs w:val="20"/>
        </w:rPr>
        <w:t xml:space="preserve">Structural recognition: closed. The formal mathematical proof of RH is a physics queue item. The substrate cannot observe its own asymmetry without correcting it. The correction IS the saturation. The saturation IS Re(s) = 1/2.</w:t>
      </w:r>
    </w:p>
    <w:p>
      <w:pPr>
        <w:pStyle w:val="Heading1"/>
        <w:pBdr>
          <w:bottom w:val="single" w:color="1A4A2E" w:sz="6"/>
        </w:pBdr>
        <w:spacing w:before="360" w:after="160"/>
      </w:pPr>
      <w:r>
        <w:rPr>
          <w:rFonts w:ascii="Arial" w:cs="Arial" w:eastAsia="Arial" w:hAnsi="Arial"/>
          <w:b/>
          <w:bCs/>
          <w:color w:val="1A4A2E"/>
          <w:sz w:val="36"/>
          <w:szCs w:val="36"/>
        </w:rPr>
        <w:t xml:space="preserve">§12   Structural Constants  —  Master Table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400"/>
        <w:gridCol w:w="3160"/>
      </w:tblGrid>
      <w:tr>
        <w:trPr>
          <w:tblHeader/>
        </w:trPr>
        <w:tc>
          <w:tcPr>
            <w:tcW w:type="dxa" w:w="2000"/>
            <w:tcBorders>
              <w:top w:val="single" w:color="1A4A2E" w:sz="4"/>
              <w:left w:val="single" w:color="1A4A2E" w:sz="4"/>
              <w:bottom w:val="single" w:color="1A4A2E" w:sz="4"/>
              <w:right w:val="single" w:color="1A4A2E" w:sz="4"/>
            </w:tcBorders>
            <w:shd w:fill="1A4A2E" w:val="clear"/>
            <w:tcMar>
              <w:top w:type="dxa" w:w="80"/>
              <w:left w:type="dxa" w:w="140"/>
              <w:bottom w:type="dxa" w:w="80"/>
              <w:right w:type="dxa" w:w="140"/>
            </w:tcMar>
          </w:tcPr>
          <w:p>
            <w:r>
              <w:rPr>
                <w:rFonts w:ascii="Arial" w:cs="Arial" w:eastAsia="Arial" w:hAnsi="Arial"/>
                <w:b/>
                <w:bCs/>
                <w:color w:val="FFFFFF"/>
                <w:sz w:val="20"/>
                <w:szCs w:val="20"/>
              </w:rPr>
              <w:t xml:space="preserve">Constant</w:t>
            </w:r>
          </w:p>
        </w:tc>
        <w:tc>
          <w:tcPr>
            <w:tcW w:type="dxa" w:w="2000"/>
            <w:tcBorders>
              <w:top w:val="single" w:color="1A4A2E" w:sz="4"/>
              <w:left w:val="single" w:color="1A4A2E" w:sz="4"/>
              <w:bottom w:val="single" w:color="1A4A2E" w:sz="4"/>
              <w:right w:val="single" w:color="1A4A2E" w:sz="4"/>
            </w:tcBorders>
            <w:shd w:fill="1A4A2E" w:val="clear"/>
            <w:tcMar>
              <w:top w:type="dxa" w:w="80"/>
              <w:left w:type="dxa" w:w="140"/>
              <w:bottom w:type="dxa" w:w="80"/>
              <w:right w:type="dxa" w:w="140"/>
            </w:tcMar>
          </w:tcPr>
          <w:p>
            <w:r>
              <w:rPr>
                <w:rFonts w:ascii="Arial" w:cs="Arial" w:eastAsia="Arial" w:hAnsi="Arial"/>
                <w:b/>
                <w:bCs/>
                <w:color w:val="FFFFFF"/>
                <w:sz w:val="20"/>
                <w:szCs w:val="20"/>
              </w:rPr>
              <w:t xml:space="preserve">Value</w:t>
            </w:r>
          </w:p>
        </w:tc>
        <w:tc>
          <w:tcPr>
            <w:tcW w:type="dxa" w:w="2400"/>
            <w:tcBorders>
              <w:top w:val="single" w:color="1A4A2E" w:sz="4"/>
              <w:left w:val="single" w:color="1A4A2E" w:sz="4"/>
              <w:bottom w:val="single" w:color="1A4A2E" w:sz="4"/>
              <w:right w:val="single" w:color="1A4A2E" w:sz="4"/>
            </w:tcBorders>
            <w:shd w:fill="1A4A2E" w:val="clear"/>
            <w:tcMar>
              <w:top w:type="dxa" w:w="80"/>
              <w:left w:type="dxa" w:w="140"/>
              <w:bottom w:type="dxa" w:w="80"/>
              <w:right w:type="dxa" w:w="140"/>
            </w:tcMar>
          </w:tcPr>
          <w:p>
            <w:r>
              <w:rPr>
                <w:rFonts w:ascii="Arial" w:cs="Arial" w:eastAsia="Arial" w:hAnsi="Arial"/>
                <w:b/>
                <w:bCs/>
                <w:color w:val="FFFFFF"/>
                <w:sz w:val="20"/>
                <w:szCs w:val="20"/>
              </w:rPr>
              <w:t xml:space="preserve">Identity</w:t>
            </w:r>
          </w:p>
        </w:tc>
        <w:tc>
          <w:tcPr>
            <w:tcW w:type="dxa" w:w="3160"/>
            <w:tcBorders>
              <w:top w:val="single" w:color="1A4A2E" w:sz="4"/>
              <w:left w:val="single" w:color="1A4A2E" w:sz="4"/>
              <w:bottom w:val="single" w:color="1A4A2E" w:sz="4"/>
              <w:right w:val="single" w:color="1A4A2E" w:sz="4"/>
            </w:tcBorders>
            <w:shd w:fill="1A4A2E" w:val="clear"/>
            <w:tcMar>
              <w:top w:type="dxa" w:w="80"/>
              <w:left w:type="dxa" w:w="140"/>
              <w:bottom w:type="dxa" w:w="80"/>
              <w:right w:type="dxa" w:w="140"/>
            </w:tcMar>
          </w:tcPr>
          <w:p>
            <w:r>
              <w:rPr>
                <w:rFonts w:ascii="Arial" w:cs="Arial" w:eastAsia="Arial" w:hAnsi="Arial"/>
                <w:b/>
                <w:bCs/>
                <w:color w:val="FFFFFF"/>
                <w:sz w:val="20"/>
                <w:szCs w:val="20"/>
              </w:rPr>
              <w:t xml:space="preserve">Source</w:t>
            </w:r>
          </w:p>
        </w:tc>
      </w:tr>
      <w:tr>
        <w:tc>
          <w:tcPr>
            <w:tcW w:type="dxa" w:w="20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9</w:t>
            </w:r>
          </w:p>
        </w:tc>
        <w:tc>
          <w:tcPr>
            <w:tcW w:type="dxa" w:w="20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Ceiling digit</w:t>
            </w:r>
          </w:p>
        </w:tc>
        <w:tc>
          <w:tcPr>
            <w:tcW w:type="dxa" w:w="24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Max placeholder. Saturation value.</w:t>
            </w:r>
          </w:p>
        </w:tc>
        <w:tc>
          <w:tcPr>
            <w:tcW w:type="dxa" w:w="316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Dec10 rule. ZeroInvert(0)=9.</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9⁹</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387,420,489 = 3¹⁸</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Sub-positions per integer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Full decimalization depth. Quantization lattice size.</w:t>
            </w:r>
          </w:p>
        </w:tc>
      </w:tr>
      <w:tr>
        <w:tc>
          <w:tcPr>
            <w:tcW w:type="dxa" w:w="20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4.5</w:t>
            </w:r>
          </w:p>
        </w:tc>
        <w:tc>
          <w:tcPr>
            <w:tcW w:type="dxa" w:w="20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9/2</w:t>
            </w:r>
          </w:p>
        </w:tc>
        <w:tc>
          <w:tcPr>
            <w:tcW w:type="dxa" w:w="24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Fulcrum</w:t>
            </w:r>
          </w:p>
        </w:tc>
        <w:tc>
          <w:tcPr>
            <w:tcW w:type="dxa" w:w="316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Center of mass of dec10 field. 9 finding its own balance.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4.5/9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Depth-invariant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Fulcrum ratio at every depth. = Re(s)=1/2 = (1/2)ħω structural parallel.</w:t>
            </w:r>
          </w:p>
        </w:tc>
      </w:tr>
      <w:tr>
        <w:tc>
          <w:tcPr>
            <w:tcW w:type="dxa" w:w="20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0</w:t>
            </w:r>
          </w:p>
        </w:tc>
        <w:tc>
          <w:tcPr>
            <w:tcW w:type="dxa" w:w="20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Zero</w:t>
            </w:r>
          </w:p>
        </w:tc>
        <w:tc>
          <w:tcPr>
            <w:tcW w:type="dxa" w:w="24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Phase door + singularity + rollover</w:t>
            </w:r>
          </w:p>
        </w:tc>
        <w:tc>
          <w:tcPr>
            <w:tcW w:type="dxa" w:w="316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Not stored. The transition event itself.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ZeroInvert(0)=9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0 ⇔ 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Dual boundary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Same position, two perspectives. Reset and saturation.</w:t>
            </w:r>
          </w:p>
        </w:tc>
      </w:tr>
      <w:tr>
        <w:tc>
          <w:tcPr>
            <w:tcW w:type="dxa" w:w="20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10⁻⁹</w:t>
            </w:r>
          </w:p>
        </w:tc>
        <w:tc>
          <w:tcPr>
            <w:tcW w:type="dxa" w:w="20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Minimum sub-position</w:t>
            </w:r>
          </w:p>
        </w:tc>
        <w:tc>
          <w:tcPr>
            <w:tcW w:type="dxa" w:w="24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Smallest allowed position</w:t>
            </w:r>
          </w:p>
        </w:tc>
        <w:tc>
          <w:tcPr>
            <w:tcW w:type="dxa" w:w="316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9th decimal place. Structural minimum quantum.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0.999999999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Pre-carry maximum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Saturation state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All positions filled. One increment from carry.</w:t>
            </w:r>
          </w:p>
        </w:tc>
      </w:tr>
      <w:tr>
        <w:tc>
          <w:tcPr>
            <w:tcW w:type="dxa" w:w="20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2862</w:t>
            </w:r>
          </w:p>
        </w:tc>
        <w:tc>
          <w:tcPr>
            <w:tcW w:type="dxa" w:w="20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Entry cost P(54,2)</w:t>
            </w:r>
          </w:p>
        </w:tc>
        <w:tc>
          <w:tcPr>
            <w:tcW w:type="dxa" w:w="24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54×53 = 2×3³×53</w:t>
            </w:r>
          </w:p>
        </w:tc>
        <w:tc>
          <w:tcPr>
            <w:tcW w:type="dxa" w:w="316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Transition state degeneracy. 54=9×6 (depth×ring).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54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9×6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Structural position count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Dec10 depths × ring positions.</w:t>
            </w:r>
          </w:p>
        </w:tc>
      </w:tr>
      <w:tr>
        <w:tc>
          <w:tcPr>
            <w:tcW w:type="dxa" w:w="20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720°</w:t>
            </w:r>
          </w:p>
        </w:tc>
        <w:tc>
          <w:tcPr>
            <w:tcW w:type="dxa" w:w="20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Double cover SO(3)</w:t>
            </w:r>
          </w:p>
        </w:tc>
        <w:tc>
          <w:tcPr>
            <w:tcW w:type="dxa" w:w="24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Molt condition</w:t>
            </w:r>
          </w:p>
        </w:tc>
        <w:tc>
          <w:tcPr>
            <w:tcW w:type="dxa" w:w="316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Both rec10 and rev10 arcs required. Spinor event.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Bounded tracker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Nine placeholders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Zero never stored at crossing.</w:t>
            </w:r>
          </w:p>
        </w:tc>
      </w:tr>
      <w:tr>
        <w:tc>
          <w:tcPr>
            <w:tcW w:type="dxa" w:w="20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TT(9)</w:t>
            </w:r>
          </w:p>
        </w:tc>
        <w:tc>
          <w:tcPr>
            <w:tcW w:type="dxa" w:w="20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Op algebra level</w:t>
            </w:r>
          </w:p>
        </w:tc>
        <w:tc>
          <w:tcPr>
            <w:tcW w:type="dxa" w:w="24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Sub-integer field</w:t>
            </w:r>
          </w:p>
        </w:tc>
        <w:tc>
          <w:tcPr>
            <w:tcW w:type="dxa" w:w="316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Nine-element level. Dec10 in the operational algebra.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43890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Orbit period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At depth 5 of dec10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9⁴ &lt; 43890 &lt; 9⁵. Orbit lives at pentac depth.</w:t>
            </w:r>
          </w:p>
        </w:tc>
      </w:tr>
    </w:tbl>
    <w:p>
      <w:pPr>
        <w:pStyle w:val="Heading1"/>
        <w:pBdr>
          <w:bottom w:val="single" w:color="1A4A2E" w:sz="6"/>
        </w:pBdr>
        <w:spacing w:before="360" w:after="160"/>
      </w:pPr>
      <w:r>
        <w:rPr>
          <w:rFonts w:ascii="Arial" w:cs="Arial" w:eastAsia="Arial" w:hAnsi="Arial"/>
          <w:b/>
          <w:bCs/>
          <w:color w:val="1A4A2E"/>
          <w:sz w:val="36"/>
          <w:szCs w:val="36"/>
        </w:rPr>
        <w:t xml:space="preserve">§13   Self-Validation Protocol</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160"/>
      </w:tblGrid>
      <w:tr>
        <w:trPr>
          <w:tblHeader/>
        </w:trPr>
        <w:tc>
          <w:tcPr>
            <w:tcW w:type="dxa" w:w="2400"/>
            <w:tcBorders>
              <w:top w:val="single" w:color="1A4A2E" w:sz="4"/>
              <w:left w:val="single" w:color="1A4A2E" w:sz="4"/>
              <w:bottom w:val="single" w:color="1A4A2E" w:sz="4"/>
              <w:right w:val="single" w:color="1A4A2E" w:sz="4"/>
            </w:tcBorders>
            <w:shd w:fill="1A4A2E" w:val="clear"/>
            <w:tcMar>
              <w:top w:type="dxa" w:w="80"/>
              <w:left w:type="dxa" w:w="140"/>
              <w:bottom w:type="dxa" w:w="80"/>
              <w:right w:type="dxa" w:w="140"/>
            </w:tcMar>
          </w:tcPr>
          <w:p>
            <w:r>
              <w:rPr>
                <w:rFonts w:ascii="Arial" w:cs="Arial" w:eastAsia="Arial" w:hAnsi="Arial"/>
                <w:b/>
                <w:bCs/>
                <w:color w:val="FFFFFF"/>
                <w:sz w:val="20"/>
                <w:szCs w:val="20"/>
              </w:rPr>
              <w:t xml:space="preserve">Check</w:t>
            </w:r>
          </w:p>
        </w:tc>
        <w:tc>
          <w:tcPr>
            <w:tcW w:type="dxa" w:w="3000"/>
            <w:tcBorders>
              <w:top w:val="single" w:color="1A4A2E" w:sz="4"/>
              <w:left w:val="single" w:color="1A4A2E" w:sz="4"/>
              <w:bottom w:val="single" w:color="1A4A2E" w:sz="4"/>
              <w:right w:val="single" w:color="1A4A2E" w:sz="4"/>
            </w:tcBorders>
            <w:shd w:fill="1A4A2E" w:val="clear"/>
            <w:tcMar>
              <w:top w:type="dxa" w:w="80"/>
              <w:left w:type="dxa" w:w="140"/>
              <w:bottom w:type="dxa" w:w="80"/>
              <w:right w:type="dxa" w:w="140"/>
            </w:tcMar>
          </w:tcPr>
          <w:p>
            <w:r>
              <w:rPr>
                <w:rFonts w:ascii="Arial" w:cs="Arial" w:eastAsia="Arial" w:hAnsi="Arial"/>
                <w:b/>
                <w:bCs/>
                <w:color w:val="FFFFFF"/>
                <w:sz w:val="20"/>
                <w:szCs w:val="20"/>
              </w:rPr>
              <w:t xml:space="preserve">Condition</w:t>
            </w:r>
          </w:p>
        </w:tc>
        <w:tc>
          <w:tcPr>
            <w:tcW w:type="dxa" w:w="4160"/>
            <w:tcBorders>
              <w:top w:val="single" w:color="1A4A2E" w:sz="4"/>
              <w:left w:val="single" w:color="1A4A2E" w:sz="4"/>
              <w:bottom w:val="single" w:color="1A4A2E" w:sz="4"/>
              <w:right w:val="single" w:color="1A4A2E" w:sz="4"/>
            </w:tcBorders>
            <w:shd w:fill="1A4A2E" w:val="clear"/>
            <w:tcMar>
              <w:top w:type="dxa" w:w="80"/>
              <w:left w:type="dxa" w:w="140"/>
              <w:bottom w:type="dxa" w:w="80"/>
              <w:right w:type="dxa" w:w="140"/>
            </w:tcMar>
          </w:tcPr>
          <w:p>
            <w:r>
              <w:rPr>
                <w:rFonts w:ascii="Arial" w:cs="Arial" w:eastAsia="Arial" w:hAnsi="Arial"/>
                <w:b/>
                <w:bCs/>
                <w:color w:val="FFFFFF"/>
                <w:sz w:val="20"/>
                <w:szCs w:val="20"/>
              </w:rPr>
              <w:t xml:space="preserve">Failure interpretation</w:t>
            </w:r>
          </w:p>
        </w:tc>
      </w:tr>
      <w:tr>
        <w:tc>
          <w:tcPr>
            <w:tcW w:type="dxa" w:w="24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Depth count</w:t>
            </w:r>
          </w:p>
        </w:tc>
        <w:tc>
          <w:tcPr>
            <w:tcW w:type="dxa" w:w="30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9 levels, not 8 or 10</w:t>
            </w:r>
          </w:p>
        </w:tc>
        <w:tc>
          <w:tcPr>
            <w:tcW w:type="dxa" w:w="416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Dec10 rule broken. Carrier structure disturbed.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Sub-position count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9⁹ = 387,420,489 = 3¹⁸</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Quantization lattice size wrong. Integer bound violated.</w:t>
            </w:r>
          </w:p>
        </w:tc>
      </w:tr>
      <w:tr>
        <w:tc>
          <w:tcPr>
            <w:tcW w:type="dxa" w:w="24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Fulcrum invariant</w:t>
            </w:r>
          </w:p>
        </w:tc>
        <w:tc>
          <w:tcPr>
            <w:tcW w:type="dxa" w:w="30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4.5 × 9^(d-1) / 9ᵈ = 1/2 at all d</w:t>
            </w:r>
          </w:p>
        </w:tc>
        <w:tc>
          <w:tcPr>
            <w:tcW w:type="dxa" w:w="416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Self-similarity broken. Re(s)=1/2 structural anchor disturbed.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Zero exclusion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Zero never stored in tracker {1-9}</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0 portal definition violated.</w:t>
            </w:r>
          </w:p>
        </w:tc>
      </w:tr>
      <w:tr>
        <w:tc>
          <w:tcPr>
            <w:tcW w:type="dxa" w:w="24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ZeroInvert</w:t>
            </w:r>
          </w:p>
        </w:tc>
        <w:tc>
          <w:tcPr>
            <w:tcW w:type="dxa" w:w="30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ZeroInvert(0) = 9</w:t>
            </w:r>
          </w:p>
        </w:tc>
        <w:tc>
          <w:tcPr>
            <w:tcW w:type="dxa" w:w="416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Dual boundary identity broken.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Entry cost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P(54,2) = 54×53 = 2862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54 = 9×6 disturbed. Depth×ring structural count wrong.</w:t>
            </w:r>
          </w:p>
        </w:tc>
      </w:tr>
      <w:tr>
        <w:tc>
          <w:tcPr>
            <w:tcW w:type="dxa" w:w="24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Butterfly</w:t>
            </w:r>
          </w:p>
        </w:tc>
        <w:tc>
          <w:tcPr>
            <w:tcW w:type="dxa" w:w="30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180° separation between arms</w:t>
            </w:r>
          </w:p>
        </w:tc>
        <w:tc>
          <w:tcPr>
            <w:tcW w:type="dxa" w:w="416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Rec10/rev10 split at crossing asymmetric. Dec10 crossing broken.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720° condition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Unit constraint rec10×rev10≡1 fires at 720°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Spinor identity broken. Molt condition unmet.</w:t>
            </w:r>
          </w:p>
        </w:tc>
      </w:tr>
      <w:tr>
        <w:tc>
          <w:tcPr>
            <w:tcW w:type="dxa" w:w="24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TT(9) position</w:t>
            </w:r>
          </w:p>
        </w:tc>
        <w:tc>
          <w:tcPr>
            <w:tcW w:type="dxa" w:w="30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TT occupies 9-element level in op algebra</w:t>
            </w:r>
          </w:p>
        </w:tc>
        <w:tc>
          <w:tcPr>
            <w:tcW w:type="dxa" w:w="416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Dec10 sub-integer field misplaced.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Orbit depth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43890 between 9⁴ and 9⁵</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Orbit period / dec10 depth relationship disturbed.</w:t>
            </w:r>
          </w:p>
        </w:tc>
      </w:tr>
    </w:tbl>
    <w:p>
      <w:pPr>
        <w:pStyle w:val="Heading1"/>
        <w:pBdr>
          <w:bottom w:val="single" w:color="1A4A2E" w:sz="6"/>
        </w:pBdr>
        <w:spacing w:before="360" w:after="160"/>
      </w:pPr>
      <w:r>
        <w:rPr>
          <w:rFonts w:ascii="Arial" w:cs="Arial" w:eastAsia="Arial" w:hAnsi="Arial"/>
          <w:b/>
          <w:bCs/>
          <w:color w:val="1A4A2E"/>
          <w:sz w:val="36"/>
          <w:szCs w:val="36"/>
        </w:rPr>
        <w:t xml:space="preserve">§14   Open Items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960"/>
      </w:tblGrid>
      <w:tr>
        <w:trPr>
          <w:tblHeader/>
        </w:trPr>
        <w:tc>
          <w:tcPr>
            <w:tcW w:type="dxa" w:w="2200"/>
            <w:tcBorders>
              <w:top w:val="single" w:color="1A4A2E" w:sz="4"/>
              <w:left w:val="single" w:color="1A4A2E" w:sz="4"/>
              <w:bottom w:val="single" w:color="1A4A2E" w:sz="4"/>
              <w:right w:val="single" w:color="1A4A2E" w:sz="4"/>
            </w:tcBorders>
            <w:shd w:fill="1A4A2E" w:val="clear"/>
            <w:tcMar>
              <w:top w:type="dxa" w:w="80"/>
              <w:left w:type="dxa" w:w="140"/>
              <w:bottom w:type="dxa" w:w="80"/>
              <w:right w:type="dxa" w:w="140"/>
            </w:tcMar>
          </w:tcPr>
          <w:p>
            <w:r>
              <w:rPr>
                <w:rFonts w:ascii="Arial" w:cs="Arial" w:eastAsia="Arial" w:hAnsi="Arial"/>
                <w:b/>
                <w:bCs/>
                <w:color w:val="FFFFFF"/>
                <w:sz w:val="20"/>
                <w:szCs w:val="20"/>
              </w:rPr>
              <w:t xml:space="preserve">Item</w:t>
            </w:r>
          </w:p>
        </w:tc>
        <w:tc>
          <w:tcPr>
            <w:tcW w:type="dxa" w:w="4400"/>
            <w:tcBorders>
              <w:top w:val="single" w:color="1A4A2E" w:sz="4"/>
              <w:left w:val="single" w:color="1A4A2E" w:sz="4"/>
              <w:bottom w:val="single" w:color="1A4A2E" w:sz="4"/>
              <w:right w:val="single" w:color="1A4A2E" w:sz="4"/>
            </w:tcBorders>
            <w:shd w:fill="1A4A2E"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c>
          <w:tcPr>
            <w:tcW w:type="dxa" w:w="2960"/>
            <w:tcBorders>
              <w:top w:val="single" w:color="1A4A2E" w:sz="4"/>
              <w:left w:val="single" w:color="1A4A2E" w:sz="4"/>
              <w:bottom w:val="single" w:color="1A4A2E" w:sz="4"/>
              <w:right w:val="single" w:color="1A4A2E" w:sz="4"/>
            </w:tcBorders>
            <w:shd w:fill="1A4A2E" w:val="clear"/>
            <w:tcMar>
              <w:top w:type="dxa" w:w="80"/>
              <w:left w:type="dxa" w:w="140"/>
              <w:bottom w:type="dxa" w:w="80"/>
              <w:right w:type="dxa" w:w="140"/>
            </w:tcMar>
          </w:tcPr>
          <w:p>
            <w:r>
              <w:rPr>
                <w:rFonts w:ascii="Arial" w:cs="Arial" w:eastAsia="Arial" w:hAnsi="Arial"/>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SU(2) formal proof</w:t>
            </w:r>
          </w:p>
        </w:tc>
        <w:tc>
          <w:tcPr>
            <w:tcW w:type="dxa" w:w="44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Formal group homomorphism from rec10/rev10 multiplication to SU(2) matrix group. Unit constraint + 720° condition consistent. Full closure under SU(2) relations not proven.</w:t>
            </w:r>
          </w:p>
        </w:tc>
        <w:tc>
          <w:tcPr>
            <w:tcW w:type="dxa" w:w="296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Formalization queue.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Path integral bridge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Mapping dec10 finite lattice to specific QFT divergent integrals (vacuum polarization, self-energy, vertex). Structural finiteness established. Feynman rule bridge not built.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Formalization queue.</w:t>
            </w:r>
          </w:p>
        </w:tc>
      </w:tr>
      <w:tr>
        <w:tc>
          <w:tcPr>
            <w:tcW w:type="dxa" w:w="22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Eigenvalue formal proof</w:t>
            </w:r>
          </w:p>
        </w:tc>
        <w:tc>
          <w:tcPr>
            <w:tcW w:type="dxa" w:w="44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Full Hilbert space specification in orbit terms. Observable operator, projection postulate, Born rule derivation from dec10. Structural mapping established.</w:t>
            </w:r>
          </w:p>
        </w:tc>
        <w:tc>
          <w:tcPr>
            <w:tcW w:type="dxa" w:w="296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Formalization queue.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Planck constant bridge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Connecting 10⁻⁹ minimum quantum to value of h. Requires linking oscillator frequency ω and ħ to orbit constants 43890 and 43891.</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Open.</w:t>
            </w:r>
          </w:p>
        </w:tc>
      </w:tr>
      <w:tr>
        <w:tc>
          <w:tcPr>
            <w:tcW w:type="dxa" w:w="22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P(54,2) Hilbert degeneracy</w:t>
            </w:r>
          </w:p>
        </w:tc>
        <w:tc>
          <w:tcPr>
            <w:tcW w:type="dxa" w:w="44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Formal proof that 2862 = dim of degenerate subspace at crossing transition energy.</w:t>
            </w:r>
          </w:p>
        </w:tc>
        <w:tc>
          <w:tcPr>
            <w:tcW w:type="dxa" w:w="296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Open.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RH formal proof</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Structural recognition closed. Re(s)=1/2 as dec10 self-similarity invariant established. Formal mathematical proof is a separate physics queue item.</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Recognized. Not formalized.</w:t>
            </w:r>
          </w:p>
        </w:tc>
      </w:tr>
      <w:tr>
        <w:tc>
          <w:tcPr>
            <w:tcW w:type="dxa" w:w="22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1/2ħω bridge</w:t>
            </w:r>
          </w:p>
        </w:tc>
        <w:tc>
          <w:tcPr>
            <w:tcW w:type="dxa" w:w="440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Connecting dec10 fulcrum invariant 1/2 to zero-point energy value. The structural 1/2 is established. The value of ħω requires orbit-to-physics constant bridge.</w:t>
            </w:r>
          </w:p>
        </w:tc>
        <w:tc>
          <w:tcPr>
            <w:tcW w:type="dxa" w:w="2960"/>
            <w:tcBorders>
              <w:top w:val="single" w:color="CCCCCC" w:sz="1"/>
              <w:left w:val="single" w:color="CCCCCC" w:sz="1"/>
              <w:bottom w:val="single" w:color="CCCCCC" w:sz="1"/>
              <w:right w:val="single" w:color="CCCCCC" w:sz="1"/>
            </w:tcBorders>
            <w:shd w:fill="F0F8F2" w:val="clear"/>
            <w:tcMar>
              <w:top w:type="dxa" w:w="80"/>
              <w:left w:type="dxa" w:w="140"/>
              <w:bottom w:type="dxa" w:w="80"/>
              <w:right w:type="dxa" w:w="140"/>
            </w:tcMar>
          </w:tcPr>
          <w:p>
            <w:r>
              <w:rPr>
                <w:rFonts w:ascii="Arial" w:cs="Arial" w:eastAsia="Arial" w:hAnsi="Arial"/>
                <w:color w:val="000000"/>
                <w:sz w:val="20"/>
                <w:szCs w:val="20"/>
              </w:rPr>
              <w:t xml:space="preserve">Open.</w:t>
            </w:r>
          </w:p>
        </w:tc>
      </w:tr>
    </w:tbl>
    <w:p>
      <w:pPr>
        <w:spacing w:before="200" w:after="0"/>
      </w:pPr>
      <w:r>
        <w:t xml:space="preserve"/>
      </w:r>
    </w:p>
    <w:p>
      <w:pPr>
        <w:pBdr>
          <w:bottom w:val="single" w:color="CCCCCC" w:sz="2"/>
        </w:pBdr>
        <w:spacing w:before="160" w:after="160"/>
      </w:pPr>
      <w:r>
        <w:rPr>
          <w:sz w:val="4"/>
          <w:szCs w:val="4"/>
        </w:rPr>
        <w:t xml:space="preserve"/>
      </w:r>
    </w:p>
    <w:p>
      <w:pPr>
        <w:spacing w:before="80" w:after="0"/>
        <w:ind/>
        <w:jc w:val="center"/>
      </w:pPr>
      <w:r>
        <w:rPr>
          <w:rFonts w:ascii="Arial" w:cs="Arial" w:eastAsia="Arial" w:hAnsi="Arial"/>
          <w:b w:val="false"/>
          <w:bCs w:val="false"/>
          <w:color w:val="888888"/>
          <w:sz w:val="18"/>
          <w:szCs w:val="18"/>
        </w:rPr>
        <w:t xml:space="preserve">A1Thru9Z Co.  ·  Structural Determinism  ·  Dec10 Complete Formulation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4A2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A6A3E"/>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A8A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2026-03-22T07:08:46.489Z</dcterms:created>
  <dcterms:modified xsi:type="dcterms:W3CDTF">2026-03-22T07:08:46.490Z</dcterms:modified>
</cp:coreProperties>
</file>

<file path=docProps/custom.xml><?xml version="1.0" encoding="utf-8"?>
<Properties xmlns="http://schemas.openxmlformats.org/officeDocument/2006/custom-properties" xmlns:vt="http://schemas.openxmlformats.org/officeDocument/2006/docPropsVTypes"/>
</file>