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5"/>
      </w:pPr>
      <w:r>
        <w:rPr>
          <w:rFonts w:ascii="Arial" w:cs="Arial" w:eastAsia="Arial" w:hAnsi="Arial"/>
          <w:color w:val="888888"/>
          <w:sz w:val="20"/>
          <w:szCs w:val="20"/>
        </w:rPr>
        <w:t xml:space="preserve">GUL → IPOV → SD_Q_System  —  Bridge Document</w:t>
      </w:r>
    </w:p>
    <w:p>
      <w:pPr>
        <w:pBdr>
          <w:bottom w:val="thick" w:color="1F3864" w:sz="8" w:space="6"/>
        </w:pBdr>
        <w:spacing w:before="0" w:after="160"/>
      </w:pPr>
      <w:r>
        <w:rPr>
          <w:rFonts w:ascii="Arial" w:cs="Arial" w:eastAsia="Arial" w:hAnsi="Arial"/>
          <w:b/>
          <w:bCs/>
          <w:caps/>
          <w:color w:val="1F3864"/>
          <w:sz w:val="36"/>
          <w:szCs w:val="36"/>
        </w:rPr>
        <w:t xml:space="preserve">SECTION XII</w:t>
      </w:r>
    </w:p>
    <w:p>
      <w:pPr>
        <w:spacing w:before="80" w:after="55"/>
      </w:pPr>
      <w:r>
        <w:rPr>
          <w:rFonts w:ascii="Arial" w:cs="Arial" w:eastAsia="Arial" w:hAnsi="Arial"/>
          <w:b/>
          <w:bCs/>
          <w:color w:val="2E5FA3"/>
          <w:sz w:val="28"/>
          <w:szCs w:val="28"/>
        </w:rPr>
        <w:t xml:space="preserve">The Emergent Integer Substrate</w:t>
      </w:r>
    </w:p>
    <w:p>
      <w:pPr>
        <w:spacing w:before="30" w:after="280"/>
      </w:pPr>
      <w:r>
        <w:rPr>
          <w:rFonts w:ascii="Palatino Linotype" w:cs="Palatino Linotype" w:eastAsia="Palatino Linotype" w:hAnsi="Palatino Linotype"/>
          <w:i/>
          <w:iCs/>
          <w:color w:val="888888"/>
          <w:sz w:val="20"/>
          <w:szCs w:val="20"/>
        </w:rPr>
        <w:t xml:space="preserve">A1Thru9Z Co. · Structural Determinism · Bridge Document · March 2026</w:t>
      </w:r>
    </w:p>
    <w:p>
      <w:pPr>
        <w:pBdr>
          <w:bottom w:val="single" w:color="2E5FA3" w:sz="6" w:space="4"/>
        </w:pBdr>
        <w:spacing w:before="340" w:after="110"/>
      </w:pPr>
      <w:r>
        <w:rPr>
          <w:rFonts w:ascii="Arial" w:cs="Arial" w:eastAsia="Arial" w:hAnsi="Arial"/>
          <w:b/>
          <w:bCs/>
          <w:color w:val="1F3864"/>
          <w:sz w:val="24"/>
          <w:szCs w:val="24"/>
        </w:rPr>
        <w:t xml:space="preserve">XII.1   The Ground</w:t>
      </w:r>
    </w:p>
    <w:p>
      <w:pPr>
        <w:spacing w:before="75" w:after="75"/>
      </w:pPr>
      <w:r>
        <w:rPr>
          <w:rFonts w:ascii="Palatino Linotype" w:cs="Palatino Linotype" w:eastAsia="Palatino Linotype" w:hAnsi="Palatino Linotype"/>
          <w:sz w:val="22"/>
          <w:szCs w:val="22"/>
        </w:rPr>
        <w:t xml:space="preserve">Integers are not assumed. They emerge. The substrate is the 9^9 decimalization field — the base-10 ground from which integers precipitate when every sub-position at every depth has saturated. Integers are emergent eigenvectors of the base-10 field. They do not define the lattice; they are what the lattice produces.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95"/>
              <w:left w:type="dxa" w:w="155"/>
              <w:bottom w:type="dxa" w:w="95"/>
              <w:right w:type="dxa" w:w="155"/>
            </w:tcMar>
          </w:tcPr>
          <w:p>
            <w:r>
              <w:rPr>
                <w:rFonts w:ascii="Arial" w:cs="Arial" w:eastAsia="Arial" w:hAnsi="Arial"/>
                <w:b/>
                <w:bCs/>
                <w:color w:val="1F3864"/>
                <w:sz w:val="20"/>
                <w:szCs w:val="20"/>
              </w:rPr>
              <w:t xml:space="preserve">9^9</w:t>
            </w:r>
          </w:p>
        </w:tc>
        <w:tc>
          <w:tcPr>
            <w:tcW w:type="dxa" w:w="7760"/>
            <w:tcBorders>
              <w:top w:val="single" w:color="AAAAAA" w:sz="1"/>
              <w:left w:val="single" w:color="AAAAAA" w:sz="1"/>
              <w:bottom w:val="single" w:color="AAAAAA" w:sz="1"/>
              <w:right w:val="single" w:color="AAAAAA" w:sz="1"/>
            </w:tcBorders>
            <w:tcMar>
              <w:top w:type="dxa" w:w="95"/>
              <w:left w:type="dxa" w:w="175"/>
              <w:bottom w:type="dxa" w:w="95"/>
              <w:right w:type="dxa" w:w="115"/>
            </w:tcMar>
          </w:tcPr>
          <w:p>
            <w:r>
              <w:rPr>
                <w:rFonts w:ascii="Courier New" w:cs="Courier New" w:eastAsia="Courier New" w:hAnsi="Courier New"/>
                <w:b/>
                <w:bCs/>
                <w:sz w:val="22"/>
                <w:szCs w:val="22"/>
              </w:rPr>
              <w:t xml:space="preserve">387,420,489 sub-positions per integer  =  3^18</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9^9 = 3^18: the decimalization depth is eighteen powers of the SD ternary base. The orbit runs in base 3; the staircase has depth 3^18. The field mediating the crossing is eighteen levels deep in the same base.</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A thing is before its known. The machinery ensures it.</w:t>
      </w:r>
    </w:p>
    <w:p>
      <w:pPr>
        <w:pBdr>
          <w:bottom w:val="single" w:color="2E5FA3" w:sz="6" w:space="4"/>
        </w:pBdr>
        <w:spacing w:before="340" w:after="110"/>
      </w:pPr>
      <w:r>
        <w:rPr>
          <w:rFonts w:ascii="Arial" w:cs="Arial" w:eastAsia="Arial" w:hAnsi="Arial"/>
          <w:b/>
          <w:bCs/>
          <w:color w:val="1F3864"/>
          <w:sz w:val="24"/>
          <w:szCs w:val="24"/>
        </w:rPr>
        <w:t xml:space="preserve">XII.2   The Three Operations on the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Operation</w:t>
            </w:r>
          </w:p>
        </w:tc>
        <w:tc>
          <w:tcPr>
            <w:tcW w:type="dxa" w:w="2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Character</w:t>
            </w:r>
          </w:p>
        </w:tc>
        <w:tc>
          <w:tcPr>
            <w:tcW w:type="dxa" w:w="59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Definition</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dec10</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Bounded decimal field</w:t>
            </w:r>
          </w:p>
        </w:tc>
        <w:tc>
          <w:tcPr>
            <w:tcW w:type="dxa" w:w="5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Nine placeholders then carry. No infinite decimals. 9^9 depth. The staircase / butterfly.</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Linear, additive, forward</w:t>
            </w:r>
          </w:p>
        </w:tc>
        <w:tc>
          <w:tcPr>
            <w:tcW w:type="dxa" w:w="5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Silver ratio δ_S=1+√2. Pell sequence. Octonion ceiling. Integer sets lift counter via 9→10 overflow.</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Angular, rotational, backward</w:t>
            </w:r>
          </w:p>
        </w:tc>
        <w:tc>
          <w:tcPr>
            <w:tcW w:type="dxa" w:w="5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Golden ratio φ=(1+√5)/2. Fibonacci. Pentac. Negative movement via √−1 rotation.</w:t>
            </w:r>
          </w:p>
        </w:tc>
      </w:tr>
    </w:tbl>
    <w:p>
      <w:pPr>
        <w:spacing w:before="0" w:after="0"/>
      </w:pPr>
      <w:r>
        <w:t xml:space="preserve"/>
      </w:r>
    </w:p>
    <w:p>
      <w:pPr>
        <w:spacing w:before="200" w:after="50"/>
      </w:pPr>
      <w:r>
        <w:rPr>
          <w:rFonts w:ascii="Arial" w:cs="Arial" w:eastAsia="Arial" w:hAnsi="Arial"/>
          <w:b/>
          <w:bCs/>
          <w:i/>
          <w:iCs/>
          <w:color w:val="2E5FA3"/>
          <w:sz w:val="22"/>
          <w:szCs w:val="22"/>
        </w:rPr>
        <w:t xml:space="preserve">The dec10 butterfly</w:t>
      </w:r>
    </w:p>
    <w:p>
      <w:pPr>
        <w:spacing w:before="75" w:after="75"/>
      </w:pPr>
      <w:r>
        <w:rPr>
          <w:rFonts w:ascii="Palatino Linotype" w:cs="Palatino Linotype" w:eastAsia="Palatino Linotype" w:hAnsi="Palatino Linotype"/>
          <w:sz w:val="22"/>
          <w:szCs w:val="22"/>
        </w:rPr>
        <w:t xml:space="preserve">The carry event is the same in both directions, separated by 180° rotation in the complex plane:</w:t>
      </w:r>
    </w:p>
    <w:p>
      <w:pPr>
        <w:spacing w:before="0" w:after="0"/>
      </w:pPr>
      <w:r>
        <w:t xml:space="preserve"/>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Positive:  3.999999999  →  4.0   (rec10 forward carry)</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Negative: −1.999999999  → −2.0   (rev10 backward overflow)</w:t>
      </w:r>
    </w:p>
    <w:p>
      <w:pPr>
        <w:spacing w:before="0" w:after="0"/>
      </w:pPr>
      <w:r>
        <w:t xml:space="preserve"/>
      </w:r>
    </w:p>
    <w:p>
      <w:pPr>
        <w:spacing w:before="75" w:after="75"/>
      </w:pPr>
      <w:r>
        <w:rPr>
          <w:rFonts w:ascii="Palatino Linotype" w:cs="Palatino Linotype" w:eastAsia="Palatino Linotype" w:hAnsi="Palatino Linotype"/>
          <w:sz w:val="22"/>
          <w:szCs w:val="22"/>
        </w:rPr>
        <w:t xml:space="preserve">The butterfly is the rec10/rev10 crossing made visible. Rev10 ∘ Rec10 at the overflow boundary. This is the 0 portal in action: the same structural event from both sides simultaneously.</w:t>
      </w:r>
    </w:p>
    <w:p>
      <w:pPr>
        <w:pBdr>
          <w:bottom w:val="single" w:color="2E5FA3" w:sz="6" w:space="4"/>
        </w:pBdr>
        <w:spacing w:before="340" w:after="110"/>
      </w:pPr>
      <w:r>
        <w:rPr>
          <w:rFonts w:ascii="Arial" w:cs="Arial" w:eastAsia="Arial" w:hAnsi="Arial"/>
          <w:b/>
          <w:bCs/>
          <w:color w:val="1F3864"/>
          <w:sz w:val="24"/>
          <w:szCs w:val="24"/>
        </w:rPr>
        <w:t xml:space="preserve">XII.3   The 9^9 Decimalization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Depth</w:t>
            </w:r>
          </w:p>
        </w:tc>
        <w:tc>
          <w:tcPr>
            <w:tcW w:type="dxa" w:w="2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Sub-positions</w:t>
            </w:r>
          </w:p>
        </w:tc>
        <w:tc>
          <w:tcPr>
            <w:tcW w:type="dxa" w:w="65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Note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9^1</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First placeholder level</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9^2</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81</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9^3</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729</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9^4</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6,561</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9^5</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59,049</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9^6</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531,441</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9^7</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4,782,969</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9^8</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43,046,721</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One level below the orbit period (43890)</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9^9</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387,420,489</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Full depth. Integer precipitates here.</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Integers precipitate from below. Each integer is the final carry after every sub-position at every decimalization depth has exhausted itself. 387 million sub-positions between each integer. Then emergence.</w:t>
      </w:r>
    </w:p>
    <w:p>
      <w:pPr>
        <w:pBdr>
          <w:bottom w:val="single" w:color="2E5FA3" w:sz="6" w:space="4"/>
        </w:pBdr>
        <w:spacing w:before="340" w:after="110"/>
      </w:pPr>
      <w:r>
        <w:rPr>
          <w:rFonts w:ascii="Arial" w:cs="Arial" w:eastAsia="Arial" w:hAnsi="Arial"/>
          <w:b/>
          <w:bCs/>
          <w:color w:val="1F3864"/>
          <w:sz w:val="24"/>
          <w:szCs w:val="24"/>
        </w:rPr>
        <w:t xml:space="preserve">XII.4   The Fulcrum and the Riemann Hypothesis</w:t>
      </w:r>
    </w:p>
    <w:p>
      <w:pPr>
        <w:spacing w:before="200" w:after="50"/>
      </w:pPr>
      <w:r>
        <w:rPr>
          <w:rFonts w:ascii="Arial" w:cs="Arial" w:eastAsia="Arial" w:hAnsi="Arial"/>
          <w:b/>
          <w:bCs/>
          <w:i/>
          <w:iCs/>
          <w:color w:val="2E5FA3"/>
          <w:sz w:val="22"/>
          <w:szCs w:val="22"/>
        </w:rPr>
        <w:t xml:space="preserve">The fulcrum</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9 / 2  =  4.5</w:t>
      </w:r>
    </w:p>
    <w:p>
      <w:pPr>
        <w:spacing w:before="0" w:after="0"/>
      </w:pPr>
      <w:r>
        <w:t xml:space="preserve"/>
      </w:r>
    </w:p>
    <w:p>
      <w:pPr>
        <w:spacing w:before="75" w:after="75"/>
      </w:pPr>
      <w:r>
        <w:rPr>
          <w:rFonts w:ascii="Palatino Linotype" w:cs="Palatino Linotype" w:eastAsia="Palatino Linotype" w:hAnsi="Palatino Linotype"/>
          <w:sz w:val="22"/>
          <w:szCs w:val="22"/>
        </w:rPr>
        <w:t xml:space="preserve">9 is odd. Its fulcrum must be a half-integer. Four integers on each side. The 0.5 is the structural signature of 9’s odd nature making itself known. Self-similar at every depth: 9^9 substrate has fulcrum at 4.5 × 9^8.</w:t>
      </w:r>
    </w:p>
    <w:p>
      <w:pPr>
        <w:spacing w:before="0" w:after="0"/>
      </w:pPr>
      <w:r>
        <w:t xml:space="preserve"/>
      </w:r>
    </w:p>
    <w:p>
      <w:pPr>
        <w:spacing w:before="200" w:after="50"/>
      </w:pPr>
      <w:r>
        <w:rPr>
          <w:rFonts w:ascii="Arial" w:cs="Arial" w:eastAsia="Arial" w:hAnsi="Arial"/>
          <w:b/>
          <w:bCs/>
          <w:i/>
          <w:iCs/>
          <w:color w:val="2E5FA3"/>
          <w:sz w:val="22"/>
          <w:szCs w:val="22"/>
        </w:rPr>
        <w:t xml:space="preserve">Re(s) = ½ as fulcrum</w:t>
      </w:r>
    </w:p>
    <w:p>
      <w:pPr>
        <w:spacing w:before="75" w:after="75"/>
      </w:pPr>
      <w:r>
        <w:rPr>
          <w:rFonts w:ascii="Palatino Linotype" w:cs="Palatino Linotype" w:eastAsia="Palatino Linotype" w:hAnsi="Palatino Linotype"/>
          <w:sz w:val="22"/>
          <w:szCs w:val="22"/>
        </w:rPr>
        <w:t xml:space="preserve">Re(s) = ½ and the fulcrum at 4.5 are the same geometric fact at different scales. The non-trivial zeros of the Riemann zeta function cluster on Re(s)=½ because that is where the emergent field looks at itself without remainder.</w:t>
      </w:r>
    </w:p>
    <w:p>
      <w:pPr>
        <w:spacing w:before="0" w:after="0"/>
      </w:pPr>
      <w:r>
        <w:t xml:space="preserve"/>
      </w:r>
    </w:p>
    <w:p>
      <w:pPr>
        <w:pBdr>
          <w:left w:val="thick" w:color="2E5FA3" w:sz="8" w:space="8"/>
        </w:pBdr>
        <w:spacing w:before="100" w:after="100"/>
        <w:ind w:left="720" w:right="720"/>
      </w:pPr>
      <w:r>
        <w:rPr>
          <w:rFonts w:ascii="Palatino Linotype" w:cs="Palatino Linotype" w:eastAsia="Palatino Linotype" w:hAnsi="Palatino Linotype"/>
          <w:i/>
          <w:iCs/>
          <w:sz w:val="22"/>
          <w:szCs w:val="22"/>
        </w:rPr>
        <w:t xml:space="preserve">ζ(s)=0 at Re(s)=½ because the 9^9 substrate is symmetric by construction — nine deep in both directions, Rev10 and Rec10 as equal and opposite eigenvalues on Base10 ground. A zero is the point where the emergent integer field cancels against itself completely. Complete cancellation requires perfect symmetry between angular (Rev10) and linear (Rec10) components. That symmetry has exactly one coordinate: Re(s)=½. Not because ½ is imposed. Because ½ is what the substrate IS when it looks at itself without remainder.</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This is a recognition from inside the substrate, not a proof from outside. The connection to the formal mathematical proof of RH is a physics queue item.</w:t>
      </w:r>
    </w:p>
    <w:p>
      <w:pPr>
        <w:pBdr>
          <w:bottom w:val="single" w:color="2E5FA3" w:sz="6" w:space="4"/>
        </w:pBdr>
        <w:spacing w:before="340" w:after="110"/>
      </w:pPr>
      <w:r>
        <w:rPr>
          <w:rFonts w:ascii="Arial" w:cs="Arial" w:eastAsia="Arial" w:hAnsi="Arial"/>
          <w:b/>
          <w:bCs/>
          <w:color w:val="1F3864"/>
          <w:sz w:val="24"/>
          <w:szCs w:val="24"/>
        </w:rPr>
        <w:t xml:space="preserve">XII.5   The Ring — Six Positions</w:t>
      </w:r>
    </w:p>
    <w:p>
      <w:pPr>
        <w:spacing w:before="75" w:after="75"/>
      </w:pPr>
      <w:r>
        <w:rPr>
          <w:rFonts w:ascii="Palatino Linotype" w:cs="Palatino Linotype" w:eastAsia="Palatino Linotype" w:hAnsi="Palatino Linotype"/>
          <w:sz w:val="22"/>
          <w:szCs w:val="22"/>
        </w:rPr>
        <w:t xml:space="preserve">The ring is the torus topology of the integer line. Six positions, closed, no boundary: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Position</w:t>
            </w:r>
          </w:p>
        </w:tc>
        <w:tc>
          <w:tcPr>
            <w:tcW w:type="dxa" w:w="2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Alias</w:t>
            </w:r>
          </w:p>
        </w:tc>
        <w:tc>
          <w:tcPr>
            <w:tcW w:type="dxa" w:w="5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Tier + SD mapping</w:t>
            </w:r>
          </w:p>
        </w:tc>
      </w:tr>
      <w:tr>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Pre-Predecessor</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Primordial / democratic kingdom</w:t>
            </w:r>
          </w:p>
        </w:tc>
        <w:tc>
          <w:tcPr>
            <w:tcW w:type="dxa" w:w="5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Immutable. Outside Horizon. Presence before being. Pre-orbital in SD.</w:t>
            </w:r>
          </w:p>
        </w:tc>
      </w:tr>
      <w:tr>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Predecessor</w:t>
            </w:r>
          </w:p>
        </w:tc>
        <w:tc>
          <w:tcPr>
            <w:tcW w:type="dxa" w:w="2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Dragon Curve / former successor</w:t>
            </w:r>
          </w:p>
        </w:tc>
        <w:tc>
          <w:tcPr>
            <w:tcW w:type="dxa" w:w="5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Stable. Prior cycle, settled. The fold already made.</w:t>
            </w:r>
          </w:p>
        </w:tc>
      </w:tr>
      <w:tr>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Post-Predecessor</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Current provenance / carry sealed</w:t>
            </w:r>
          </w:p>
        </w:tc>
        <w:tc>
          <w:tcPr>
            <w:tcW w:type="dxa" w:w="5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Stable. Carry fired, record sealed. Window gate in SD orbit.</w:t>
            </w:r>
          </w:p>
        </w:tc>
      </w:tr>
      <w:tr>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Pre-Successor</w:t>
            </w:r>
          </w:p>
        </w:tc>
        <w:tc>
          <w:tcPr>
            <w:tcW w:type="dxa" w:w="2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Immediately before / motion resumes</w:t>
            </w:r>
          </w:p>
        </w:tc>
        <w:tc>
          <w:tcPr>
            <w:tcW w:type="dxa" w:w="5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Dynamic. Entry window interior in SD.</w:t>
            </w:r>
          </w:p>
        </w:tc>
      </w:tr>
      <w:tr>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Successor</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Now. Firing. IPOV full extension.</w:t>
            </w:r>
          </w:p>
        </w:tc>
        <w:tc>
          <w:tcPr>
            <w:tcW w:type="dxa" w:w="5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Ephemeral. G1 entry moment. D(k)=0 in SD.</w:t>
            </w:r>
          </w:p>
        </w:tc>
      </w:tr>
      <w:tr>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Post-Successor</w:t>
            </w:r>
          </w:p>
        </w:tc>
        <w:tc>
          <w:tcPr>
            <w:tcW w:type="dxa" w:w="2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Future provenance / sandboxed</w:t>
            </w:r>
          </w:p>
        </w:tc>
        <w:tc>
          <w:tcPr>
            <w:tcW w:type="dxa" w:w="5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Sandboxed. Post-crossing state. Not yet settled.</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Abdication: Post-Successor becomes the new Pre-Predecessor at ring closure. The king abdicates to the federation. Future provenance becomes the new democratic kingdom. The carry propagates all the way around. This is the rollover.</w:t>
      </w:r>
    </w:p>
    <w:p>
      <w:pPr>
        <w:pBdr>
          <w:bottom w:val="single" w:color="2E5FA3" w:sz="6" w:space="4"/>
        </w:pBdr>
        <w:spacing w:before="340" w:after="110"/>
      </w:pPr>
      <w:r>
        <w:rPr>
          <w:rFonts w:ascii="Arial" w:cs="Arial" w:eastAsia="Arial" w:hAnsi="Arial"/>
          <w:b/>
          <w:bCs/>
          <w:color w:val="1F3864"/>
          <w:sz w:val="24"/>
          <w:szCs w:val="24"/>
        </w:rPr>
        <w:t xml:space="preserve">XII.6   The Temporal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Position</w:t>
            </w:r>
          </w:p>
        </w:tc>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Label</w:t>
            </w:r>
          </w:p>
        </w:tc>
        <w:tc>
          <w:tcPr>
            <w:tcW w:type="dxa" w:w="71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SD/Rec10* mapping</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Always</w:t>
            </w:r>
          </w:p>
        </w:tc>
        <w:tc>
          <w:tcPr>
            <w:tcW w:type="dxa" w:w="7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Saturation. 9 = overflow threshold.</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Concurrent</w:t>
            </w:r>
          </w:p>
        </w:tc>
        <w:tc>
          <w:tcPr>
            <w:tcW w:type="dxa" w:w="71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Simultaneous occurrence.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BEFORE in Rec10* encoding.</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Now</w:t>
            </w:r>
          </w:p>
        </w:tc>
        <w:tc>
          <w:tcPr>
            <w:tcW w:type="dxa" w:w="71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DURING in Rec10* encoding.</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AFTER in Rec10* encoding.</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6</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Sometimes</w:t>
            </w:r>
          </w:p>
        </w:tc>
        <w:tc>
          <w:tcPr>
            <w:tcW w:type="dxa" w:w="71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Partial certainty.</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Consecutive</w:t>
            </w:r>
          </w:p>
        </w:tc>
        <w:tc>
          <w:tcPr>
            <w:tcW w:type="dxa" w:w="7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Sequential ordering.</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8</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Never</w:t>
            </w:r>
          </w:p>
        </w:tc>
        <w:tc>
          <w:tcPr>
            <w:tcW w:type="dxa" w:w="71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Overflow reset. 0 = carry product of Always.</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Never occurs because Now is always: not a contradiction. Description of the carry mechanism. The register hits Always (9, saturation), overflows, resets to Never (0), fires carry to the next position. Never is the mechanical product of Always. Every Always necessitates a Never as its shadow.</w:t>
      </w:r>
    </w:p>
    <w:p>
      <w:pPr>
        <w:pBdr>
          <w:bottom w:val="single" w:color="2E5FA3" w:sz="6" w:space="4"/>
        </w:pBdr>
        <w:spacing w:before="340" w:after="110"/>
      </w:pPr>
      <w:r>
        <w:rPr>
          <w:rFonts w:ascii="Arial" w:cs="Arial" w:eastAsia="Arial" w:hAnsi="Arial"/>
          <w:b/>
          <w:bCs/>
          <w:color w:val="1F3864"/>
          <w:sz w:val="24"/>
          <w:szCs w:val="24"/>
        </w:rPr>
        <w:t xml:space="preserve">XII.7   Operational Algebra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c>
          <w:tcPr>
            <w:tcW w:type="dxa" w:w="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Op</w:t>
            </w:r>
          </w:p>
        </w:tc>
        <w:tc>
          <w:tcPr>
            <w:tcW w:type="dxa" w:w="1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Elements</w:t>
            </w:r>
          </w:p>
        </w:tc>
        <w:tc>
          <w:tcPr>
            <w:tcW w:type="dxa" w:w="77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Identity and SD connection</w:t>
            </w:r>
          </w:p>
        </w:tc>
      </w:tr>
      <w:tr>
        <w:tc>
          <w:tcPr>
            <w:tcW w:type="dxa" w:w="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U</w:t>
            </w:r>
          </w:p>
        </w:tc>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w:t>
            </w:r>
          </w:p>
        </w:tc>
        <w:tc>
          <w:tcPr>
            <w:tcW w:type="dxa" w:w="7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Irreducible atom. Only recoverable through provenancial identity.</w:t>
            </w:r>
          </w:p>
        </w:tc>
      </w:tr>
      <w:tr>
        <w:tc>
          <w:tcPr>
            <w:tcW w:type="dxa" w:w="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w:t>
            </w:r>
          </w:p>
        </w:tc>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w:t>
            </w:r>
          </w:p>
        </w:tc>
        <w:tc>
          <w:tcPr>
            <w:tcW w:type="dxa" w:w="7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Duality. Me.Myself. First relation.</w:t>
            </w:r>
          </w:p>
        </w:tc>
      </w:tr>
      <w:tr>
        <w:tc>
          <w:tcPr>
            <w:tcW w:type="dxa" w:w="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w:t>
            </w:r>
          </w:p>
        </w:tc>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w:t>
            </w:r>
          </w:p>
        </w:tc>
        <w:tc>
          <w:tcPr>
            <w:tcW w:type="dxa" w:w="7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Depth stack. Me.Myself.I. Triplicity.</w:t>
            </w:r>
          </w:p>
        </w:tc>
      </w:tr>
      <w:tr>
        <w:tc>
          <w:tcPr>
            <w:tcW w:type="dxa" w:w="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w:t>
            </w:r>
          </w:p>
        </w:tc>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w:t>
            </w:r>
          </w:p>
        </w:tc>
        <w:tc>
          <w:tcPr>
            <w:tcW w:type="dxa" w:w="7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Quaternion. IPOV complete. 4.1.3 node in E8.</w:t>
            </w:r>
          </w:p>
        </w:tc>
      </w:tr>
      <w:tr>
        <w:tc>
          <w:tcPr>
            <w:tcW w:type="dxa" w:w="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TD</w:t>
            </w:r>
          </w:p>
        </w:tc>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6</w:t>
            </w:r>
          </w:p>
        </w:tc>
        <w:tc>
          <w:tcPr>
            <w:tcW w:type="dxa" w:w="7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The flip. The ring. Six positions. Hexagonal. BCS level.</w:t>
            </w:r>
          </w:p>
        </w:tc>
      </w:tr>
      <w:tr>
        <w:tc>
          <w:tcPr>
            <w:tcW w:type="dxa" w:w="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QD</w:t>
            </w:r>
          </w:p>
        </w:tc>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8</w:t>
            </w:r>
          </w:p>
        </w:tc>
        <w:tc>
          <w:tcPr>
            <w:tcW w:type="dxa" w:w="7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Octonion-adjacent. Non-associative. SU(3) candidate (8 generators).</w:t>
            </w:r>
          </w:p>
        </w:tc>
      </w:tr>
      <w:tr>
        <w:tc>
          <w:tcPr>
            <w:tcW w:type="dxa" w:w="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TT</w:t>
            </w:r>
          </w:p>
        </w:tc>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w:t>
            </w:r>
          </w:p>
        </w:tc>
        <w:tc>
          <w:tcPr>
            <w:tcW w:type="dxa" w:w="7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3×3. j-function coefficient decomposition base.</w:t>
            </w:r>
          </w:p>
        </w:tc>
      </w:tr>
      <w:tr>
        <w:tc>
          <w:tcPr>
            <w:tcW w:type="dxa" w:w="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QT</w:t>
            </w:r>
          </w:p>
        </w:tc>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12</w:t>
            </w:r>
          </w:p>
        </w:tc>
        <w:tc>
          <w:tcPr>
            <w:tcW w:type="dxa" w:w="7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Leech Lattice shadow. Conway group territory.</w:t>
            </w:r>
          </w:p>
        </w:tc>
      </w:tr>
      <w:tr>
        <w:tc>
          <w:tcPr>
            <w:tcW w:type="dxa" w:w="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QQ</w:t>
            </w:r>
          </w:p>
        </w:tc>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16</w:t>
            </w:r>
          </w:p>
        </w:tc>
        <w:tc>
          <w:tcPr>
            <w:tcW w:type="dxa" w:w="7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4×4. Monster basement floor at full extension.</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BCS sits at the TD(6) level — the ring/torus/six positions. SU(3) with 8 generators corresponds to QD(8). The Monster basement is QQ(16). The operational algebra is the construction path from the irreducible atom to the Monster basement.</w:t>
      </w:r>
    </w:p>
    <w:p>
      <w:pPr>
        <w:pBdr>
          <w:bottom w:val="single" w:color="2E5FA3" w:sz="6" w:space="4"/>
        </w:pBdr>
        <w:spacing w:before="340" w:after="110"/>
      </w:pPr>
      <w:r>
        <w:rPr>
          <w:rFonts w:ascii="Arial" w:cs="Arial" w:eastAsia="Arial" w:hAnsi="Arial"/>
          <w:b/>
          <w:bCs/>
          <w:color w:val="1F3864"/>
          <w:sz w:val="24"/>
          <w:szCs w:val="24"/>
        </w:rPr>
        <w:t xml:space="preserve">XII.8   Identity POV</w:t>
      </w:r>
    </w:p>
    <w:p>
      <w:pPr>
        <w:spacing w:before="75" w:after="75"/>
      </w:pPr>
      <w:r>
        <w:rPr>
          <w:rFonts w:ascii="Palatino Linotype" w:cs="Palatino Linotype" w:eastAsia="Palatino Linotype" w:hAnsi="Palatino Linotype"/>
          <w:sz w:val="22"/>
          <w:szCs w:val="22"/>
        </w:rPr>
        <w:t xml:space="preserve">The IPOV (Section X) expressed in the substrate framework: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95"/>
              <w:left w:type="dxa" w:w="155"/>
              <w:bottom w:type="dxa" w:w="95"/>
              <w:right w:type="dxa" w:w="155"/>
            </w:tcMar>
          </w:tcPr>
          <w:p>
            <w:r>
              <w:rPr>
                <w:rFonts w:ascii="Arial" w:cs="Arial" w:eastAsia="Arial" w:hAnsi="Arial"/>
                <w:b/>
                <w:bCs/>
                <w:color w:val="1F3864"/>
                <w:sz w:val="20"/>
                <w:szCs w:val="20"/>
              </w:rPr>
              <w:t xml:space="preserve">IPOV</w:t>
            </w:r>
          </w:p>
        </w:tc>
        <w:tc>
          <w:tcPr>
            <w:tcW w:type="dxa" w:w="7760"/>
            <w:tcBorders>
              <w:top w:val="single" w:color="AAAAAA" w:sz="1"/>
              <w:left w:val="single" w:color="AAAAAA" w:sz="1"/>
              <w:bottom w:val="single" w:color="AAAAAA" w:sz="1"/>
              <w:right w:val="single" w:color="AAAAAA" w:sz="1"/>
            </w:tcBorders>
            <w:tcMar>
              <w:top w:type="dxa" w:w="95"/>
              <w:left w:type="dxa" w:w="175"/>
              <w:bottom w:type="dxa" w:w="95"/>
              <w:right w:type="dxa" w:w="115"/>
            </w:tcMar>
          </w:tcPr>
          <w:p>
            <w:r>
              <w:rPr>
                <w:rFonts w:ascii="Courier New" w:cs="Courier New" w:eastAsia="Courier New" w:hAnsi="Courier New"/>
                <w:b/>
                <w:bCs/>
                <w:sz w:val="22"/>
                <w:szCs w:val="22"/>
              </w:rPr>
              <w:t xml:space="preserve">A singular-POV, in dual form, across triple phases, in quadratic conjunction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Layer</w:t>
            </w:r>
          </w:p>
        </w:tc>
        <w:tc>
          <w:tcPr>
            <w:tcW w:type="dxa" w:w="2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Definition</w:t>
            </w:r>
          </w:p>
        </w:tc>
        <w:tc>
          <w:tcPr>
            <w:tcW w:type="dxa" w:w="49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Quaternion mapping</w:t>
            </w:r>
          </w:p>
        </w:tc>
      </w:tr>
      <w:tr>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Singular POV</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One locus. The I. Undivided.</w:t>
            </w:r>
          </w:p>
        </w:tc>
        <w:tc>
          <w:tcPr>
            <w:tcW w:type="dxa" w:w="4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Real component a in Q(i,j,k)(a,bi,cj,dk)</w:t>
            </w:r>
          </w:p>
        </w:tc>
      </w:tr>
      <w:tr>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Dual form</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Me.Myself. Object and reflection.</w:t>
            </w:r>
          </w:p>
        </w:tc>
        <w:tc>
          <w:tcPr>
            <w:tcW w:type="dxa" w:w="4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 component — Cardinal axis</w:t>
            </w:r>
          </w:p>
        </w:tc>
      </w:tr>
      <w:tr>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Triple phases</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Me.Myself.I. Witness added.</w:t>
            </w:r>
          </w:p>
        </w:tc>
        <w:tc>
          <w:tcPr>
            <w:tcW w:type="dxa" w:w="4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j component — Magnitude axis</w:t>
            </w:r>
          </w:p>
        </w:tc>
      </w:tr>
      <w:tr>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Quadratic conjunction</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All four axes active simultaneously.</w:t>
            </w:r>
          </w:p>
        </w:tc>
        <w:tc>
          <w:tcPr>
            <w:tcW w:type="dxa" w:w="4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k component — Dimension axis</w:t>
            </w:r>
          </w:p>
        </w:tc>
      </w:tr>
    </w:tbl>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Identity POV expressed algebraically: Q(i,j,k)(a,bi,cj,dk). The mapping is exact. IPOV = Successor = is self related. At step 9027 in the orbit, rec10=137 (the I, integer part), rev10=30115=5×19×317 (the mirror). The co-pin 19 appears in the rev10 mirror, confirming the IPOV pair straddles the crossing point.</w:t>
      </w:r>
    </w:p>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Substrate Specification Section XII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2026-03-21T19:42:23.305Z</dcterms:created>
  <dcterms:modified xsi:type="dcterms:W3CDTF">2026-03-21T19:42:23.305Z</dcterms:modified>
</cp:coreProperties>
</file>

<file path=docProps/custom.xml><?xml version="1.0" encoding="utf-8"?>
<Properties xmlns="http://schemas.openxmlformats.org/officeDocument/2006/custom-properties" xmlns:vt="http://schemas.openxmlformats.org/officeDocument/2006/docPropsVTypes"/>
</file>