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Arial" w:cs="Arial" w:eastAsia="Arial" w:hAnsi="Arial"/>
          <w:color w:val="888888"/>
          <w:sz w:val="20"/>
          <w:szCs w:val="20"/>
        </w:rPr>
        <w:t xml:space="preserve">GUL → IPOV → SD_Q_System  —  Bridge Document</w:t>
      </w:r>
    </w:p>
    <w:p>
      <w:pPr>
        <w:spacing w:before="40" w:after="20"/>
      </w:pPr>
      <w:r>
        <w:rPr>
          <w:rFonts w:ascii="Arial" w:cs="Arial" w:eastAsia="Arial" w:hAnsi="Arial"/>
          <w:b/>
          <w:bCs/>
          <w:color w:val="3A1A0A"/>
          <w:sz w:val="72"/>
          <w:szCs w:val="72"/>
        </w:rPr>
        <w:t xml:space="preserve">THE FULCRUM</w:t>
      </w:r>
    </w:p>
    <w:p>
      <w:pPr>
        <w:spacing w:before="0" w:after="40"/>
      </w:pPr>
      <w:r>
        <w:rPr>
          <w:rFonts w:ascii="Arial" w:cs="Arial" w:eastAsia="Arial" w:hAnsi="Arial"/>
          <w:b/>
          <w:bCs/>
          <w:color w:val="6B3A1A"/>
          <w:sz w:val="36"/>
          <w:szCs w:val="36"/>
        </w:rPr>
        <w:t xml:space="preserve">Complete Self-Reliant Specification</w:t>
      </w:r>
    </w:p>
    <w:p>
      <w:pPr>
        <w:spacing w:before="0" w:after="320"/>
      </w:pPr>
      <w:r>
        <w:rPr>
          <w:rFonts w:ascii="Arial" w:cs="Arial" w:eastAsia="Arial" w:hAnsi="Arial"/>
          <w:color w:val="888888"/>
          <w:sz w:val="20"/>
          <w:szCs w:val="20"/>
        </w:rPr>
        <w:t xml:space="preserve">A1Thru9Z Co.  ·  Structural Determinism  ·  Fulcrum Canonical Specification  ·  March 2026</w:t>
      </w:r>
    </w:p>
    <w:p>
      <w:pPr>
        <w:pStyle w:val="Heading1"/>
        <w:pBdr>
          <w:bottom w:val="single" w:color="3A1A0A" w:sz="6"/>
        </w:pBdr>
        <w:spacing w:before="360" w:after="160"/>
      </w:pPr>
      <w:r>
        <w:rPr>
          <w:rFonts w:ascii="Arial" w:cs="Arial" w:eastAsia="Arial" w:hAnsi="Arial"/>
          <w:b/>
          <w:bCs/>
          <w:color w:val="3A1A0A"/>
          <w:sz w:val="36"/>
          <w:szCs w:val="36"/>
        </w:rPr>
        <w:t xml:space="preserve">§0   Designation</w:t>
      </w:r>
    </w:p>
    <w:p>
      <w:pPr>
        <w:spacing w:before="80" w:after="80"/>
        <w:ind/>
        <w:jc w:val="left"/>
      </w:pPr>
      <w:r>
        <w:rPr>
          <w:rFonts w:ascii="Arial" w:cs="Arial" w:eastAsia="Arial" w:hAnsi="Arial"/>
          <w:b w:val="false"/>
          <w:bCs w:val="false"/>
          <w:color w:val="000000"/>
          <w:sz w:val="22"/>
          <w:szCs w:val="22"/>
        </w:rPr>
        <w:t xml:space="preserve">The Fulcrum is the operation that finds the center of mass of any odd number. It is not a value, not a formula, not a midpoint calculation. It is a structurally forced result: given any odd integer, its center must be a half-integer. No choice is involved. The .5 residue is not a compromise — it is the signature of odd nature making itself known.</w:t>
      </w:r>
    </w:p>
    <w:p>
      <w:pPr>
        <w:spacing w:before="80" w:after="0"/>
      </w:pPr>
      <w:r>
        <w:t xml:space="preserve"/>
      </w:r>
    </w:p>
    <w:p>
      <w:pPr>
        <w:pBdr>
          <w:top w:val="single" w:color="3A1A0A" w:sz="4"/>
          <w:left w:val="single" w:color="3A1A0A" w:sz="4"/>
          <w:bottom w:val="single" w:color="3A1A0A" w:sz="4"/>
          <w:right w:val="single" w:color="3A1A0A" w:sz="4"/>
        </w:pBdr>
        <w:shd w:fill="FDF5EC" w:val="clear"/>
        <w:spacing w:before="120" w:after="120"/>
        <w:jc w:val="center"/>
      </w:pPr>
      <w:r>
        <w:rPr>
          <w:rFonts w:ascii="Courier New" w:cs="Courier New" w:eastAsia="Courier New" w:hAnsi="Courier New"/>
          <w:b/>
          <w:bCs/>
          <w:color w:val="1A1A1A"/>
          <w:sz w:val="26"/>
          <w:szCs w:val="26"/>
        </w:rPr>
        <w:t xml:space="preserve">n odd  ⇒  n/2  (forced, no parameters, no alternatives)</w:t>
      </w:r>
    </w:p>
    <w:p>
      <w:pPr>
        <w:spacing w:before="8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Core expression</w:t>
            </w:r>
          </w:p>
        </w:tc>
        <w:tc>
          <w:tcPr>
            <w:tcW w:type="dxa" w:w="71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9/2 = 4.5  —  the dec10 ceiling finding its center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Operation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 → n/2 for any odd integer n</w:t>
            </w:r>
          </w:p>
        </w:tc>
      </w:tr>
      <w:tr>
        <w:tc>
          <w:tcPr>
            <w:tcW w:type="dxa" w:w="24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Output type</w:t>
            </w:r>
          </w:p>
        </w:tc>
        <w:tc>
          <w:tcPr>
            <w:tcW w:type="dxa" w:w="71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Always a half-integer. The .5 is structural, not incidental.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Forced?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Yes. An odd number has no integer center. The half-integer is the only possibility.</w:t>
            </w:r>
          </w:p>
        </w:tc>
      </w:tr>
      <w:tr>
        <w:tc>
          <w:tcPr>
            <w:tcW w:type="dxa" w:w="24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Inverse</w:t>
            </w:r>
          </w:p>
        </w:tc>
        <w:tc>
          <w:tcPr>
            <w:tcW w:type="dxa" w:w="71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2/9 = binary / ternary². The inverse fulcrum.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Depth invariant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fulcrum(d) / 9ᵈ = 1/2 at every dec10 depth d. Always.</w:t>
            </w:r>
          </w:p>
        </w:tc>
      </w:tr>
      <w:tr>
        <w:tc>
          <w:tcPr>
            <w:tcW w:type="dxa" w:w="24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Coupling identity</w:t>
            </w:r>
          </w:p>
        </w:tc>
        <w:tc>
          <w:tcPr>
            <w:tcW w:type="dxa" w:w="71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Equidistant from Q(4) and pentac(5): 4.5−4=0.5, 5−4.5=0.5.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Mnemonic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see-saw. The fulcrum is the pivot. The dives are the arms.</w:t>
            </w:r>
          </w:p>
        </w:tc>
      </w:tr>
    </w:tbl>
    <w:p>
      <w:pPr>
        <w:spacing w:before="80" w:after="0"/>
      </w:pPr>
      <w:r>
        <w:t xml:space="preserve"/>
      </w:r>
    </w:p>
    <w:p>
      <w:pPr>
        <w:pBdr>
          <w:top w:val="none" w:color="auto" w:sz="0"/>
          <w:bottom w:val="none" w:color="auto" w:sz="0"/>
          <w:left w:val="single" w:color="8B5A2A" w:sz="8"/>
          <w:right w:val="none" w:color="auto" w:sz="0"/>
        </w:pBdr>
        <w:spacing w:before="100" w:after="100"/>
        <w:ind w:left="560"/>
      </w:pPr>
      <w:r>
        <w:rPr>
          <w:rFonts w:ascii="Arial" w:cs="Arial" w:eastAsia="Arial" w:hAnsi="Arial"/>
          <w:color w:val="444444"/>
          <w:sz w:val="20"/>
          <w:szCs w:val="20"/>
        </w:rPr>
        <w:t xml:space="preserve">Not division. 9 finding its own center of mass. — YAML Spec v0.9</w:t>
      </w:r>
    </w:p>
    <w:p>
      <w:pPr>
        <w:pStyle w:val="Heading1"/>
        <w:pBdr>
          <w:bottom w:val="single" w:color="3A1A0A" w:sz="6"/>
        </w:pBdr>
        <w:spacing w:before="360" w:after="160"/>
      </w:pPr>
      <w:r>
        <w:rPr>
          <w:rFonts w:ascii="Arial" w:cs="Arial" w:eastAsia="Arial" w:hAnsi="Arial"/>
          <w:b/>
          <w:bCs/>
          <w:color w:val="3A1A0A"/>
          <w:sz w:val="36"/>
          <w:szCs w:val="36"/>
        </w:rPr>
        <w:t xml:space="preserve">§1   The Operation</w:t>
      </w:r>
    </w:p>
    <w:p>
      <w:pPr>
        <w:pStyle w:val="Heading2"/>
        <w:spacing w:before="280" w:after="120"/>
      </w:pPr>
      <w:r>
        <w:rPr>
          <w:rFonts w:ascii="Arial" w:cs="Arial" w:eastAsia="Arial" w:hAnsi="Arial"/>
          <w:b/>
          <w:bCs/>
          <w:color w:val="6B3A1A"/>
          <w:sz w:val="28"/>
          <w:szCs w:val="28"/>
        </w:rPr>
        <w:t xml:space="preserve">§1.1   Why the Half-Integer Is Forced</w:t>
      </w:r>
    </w:p>
    <w:p>
      <w:pPr>
        <w:spacing w:before="80" w:after="80"/>
        <w:ind/>
        <w:jc w:val="left"/>
      </w:pPr>
      <w:r>
        <w:rPr>
          <w:rFonts w:ascii="Arial" w:cs="Arial" w:eastAsia="Arial" w:hAnsi="Arial"/>
          <w:b w:val="false"/>
          <w:bCs w:val="false"/>
          <w:color w:val="000000"/>
          <w:sz w:val="22"/>
          <w:szCs w:val="22"/>
        </w:rPr>
        <w:t xml:space="preserve">An odd integer n has 4 integers on each side of its center, with the center falling between two integers. The .5 is not a rounding artifact. It is the structural consequence of odd cardinality: a set of n elements where n is odd cannot be divided into two equal integer halves. The residue .5 is what remains when the integer structure is exhausted. It is the odd number's irreducible identity.</w:t>
      </w:r>
    </w:p>
    <w:p>
      <w:pPr>
        <w:spacing w:before="60" w:after="0"/>
      </w:pPr>
      <w:r>
        <w:t xml:space="preserve"/>
      </w:r>
    </w:p>
    <w:p>
      <w:pPr>
        <w:spacing w:before="60" w:after="60"/>
        <w:ind w:left="560"/>
      </w:pPr>
      <w:r>
        <w:rPr>
          <w:rFonts w:ascii="Courier New" w:cs="Courier New" w:eastAsia="Courier New" w:hAnsi="Courier New"/>
          <w:b w:val="false"/>
          <w:bCs w:val="false"/>
          <w:color w:val="3A1A0A"/>
          <w:sz w:val="20"/>
          <w:szCs w:val="20"/>
        </w:rPr>
        <w:t xml:space="preserve">9:  {0,1,2,3} | 4.5 | {5,6,7,8,9}   —  4 integers each side</w:t>
      </w:r>
    </w:p>
    <w:p>
      <w:pPr>
        <w:spacing w:before="60" w:after="60"/>
        <w:ind w:left="560"/>
      </w:pPr>
      <w:r>
        <w:rPr>
          <w:rFonts w:ascii="Courier New" w:cs="Courier New" w:eastAsia="Courier New" w:hAnsi="Courier New"/>
          <w:b w:val="false"/>
          <w:bCs w:val="false"/>
          <w:color w:val="3A1A0A"/>
          <w:sz w:val="20"/>
          <w:szCs w:val="20"/>
        </w:rPr>
        <w:t xml:space="preserve">7:  {0,1,2,3} | 3.5 | {4,5,6,7}     —  3 integers each side</w:t>
      </w:r>
    </w:p>
    <w:p>
      <w:pPr>
        <w:spacing w:before="60" w:after="60"/>
        <w:ind w:left="560"/>
      </w:pPr>
      <w:r>
        <w:rPr>
          <w:rFonts w:ascii="Courier New" w:cs="Courier New" w:eastAsia="Courier New" w:hAnsi="Courier New"/>
          <w:b w:val="false"/>
          <w:bCs w:val="false"/>
          <w:color w:val="3A1A0A"/>
          <w:sz w:val="20"/>
          <w:szCs w:val="20"/>
        </w:rPr>
        <w:t xml:space="preserve">5:  {0,1,2}   | 2.5 | {3,4,5}        —  2 integers each side</w:t>
      </w:r>
    </w:p>
    <w:p>
      <w:pPr>
        <w:spacing w:before="60" w:after="60"/>
        <w:ind w:left="560"/>
      </w:pPr>
      <w:r>
        <w:rPr>
          <w:rFonts w:ascii="Courier New" w:cs="Courier New" w:eastAsia="Courier New" w:hAnsi="Courier New"/>
          <w:b w:val="false"/>
          <w:bCs w:val="false"/>
          <w:color w:val="3A1A0A"/>
          <w:sz w:val="20"/>
          <w:szCs w:val="20"/>
        </w:rPr>
        <w:t xml:space="preserve">3:  {0,1}     | 1.5 | {2,3}           —  1 integer each side</w:t>
      </w:r>
    </w:p>
    <w:p>
      <w:pPr>
        <w:spacing w:before="60" w:after="60"/>
        <w:ind w:left="560"/>
      </w:pPr>
      <w:r>
        <w:rPr>
          <w:rFonts w:ascii="Courier New" w:cs="Courier New" w:eastAsia="Courier New" w:hAnsi="Courier New"/>
          <w:b w:val="false"/>
          <w:bCs w:val="false"/>
          <w:color w:val="3A1A0A"/>
          <w:sz w:val="20"/>
          <w:szCs w:val="20"/>
        </w:rPr>
        <w:t xml:space="preserve">1:  {}        | 0.5 | {1}              —  0 integers each side</w:t>
      </w:r>
    </w:p>
    <w:p>
      <w:pPr>
        <w:spacing w:before="80" w:after="0"/>
      </w:pPr>
      <w:r>
        <w:t xml:space="preserve"/>
      </w:r>
    </w:p>
    <w:p>
      <w:pPr>
        <w:pStyle w:val="Heading2"/>
        <w:spacing w:before="280" w:after="120"/>
      </w:pPr>
      <w:r>
        <w:rPr>
          <w:rFonts w:ascii="Arial" w:cs="Arial" w:eastAsia="Arial" w:hAnsi="Arial"/>
          <w:b/>
          <w:bCs/>
          <w:color w:val="6B3A1A"/>
          <w:sz w:val="28"/>
          <w:szCs w:val="28"/>
        </w:rPr>
        <w:t xml:space="preserve">§1.2   Even vs Odd: Two Distinct Behaviors</w:t>
      </w:r>
    </w:p>
    <w:p>
      <w:pPr>
        <w:spacing w:before="80" w:after="80"/>
        <w:ind/>
        <w:jc w:val="left"/>
      </w:pPr>
      <w:r>
        <w:rPr>
          <w:rFonts w:ascii="Arial" w:cs="Arial" w:eastAsia="Arial" w:hAnsi="Arial"/>
          <w:b w:val="false"/>
          <w:bCs w:val="false"/>
          <w:color w:val="000000"/>
          <w:sz w:val="22"/>
          <w:szCs w:val="22"/>
        </w:rPr>
        <w:t xml:space="preserve">Input parity determines output type. Same operation. Two structurally distinct results: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200"/>
        <w:gridCol w:w="2360"/>
      </w:tblGrid>
      <w:tr>
        <w:trPr>
          <w:tblHeader/>
        </w:trPr>
        <w:tc>
          <w:tcPr>
            <w:tcW w:type="dxa" w:w="14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Input type</w:t>
            </w:r>
          </w:p>
        </w:tc>
        <w:tc>
          <w:tcPr>
            <w:tcW w:type="dxa" w:w="16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Operation</w:t>
            </w:r>
          </w:p>
        </w:tc>
        <w:tc>
          <w:tcPr>
            <w:tcW w:type="dxa" w:w="18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Output</w:t>
            </w:r>
          </w:p>
        </w:tc>
        <w:tc>
          <w:tcPr>
            <w:tcW w:type="dxa" w:w="22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Residue</w:t>
            </w:r>
          </w:p>
        </w:tc>
        <w:tc>
          <w:tcPr>
            <w:tcW w:type="dxa" w:w="236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Odd</w:t>
            </w:r>
          </w:p>
        </w:tc>
        <w:tc>
          <w:tcPr>
            <w:tcW w:type="dxa" w:w="16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n → n/2</w:t>
            </w:r>
          </w:p>
        </w:tc>
        <w:tc>
          <w:tcPr>
            <w:tcW w:type="dxa" w:w="1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Half-integer</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.5 always present</w:t>
            </w:r>
          </w:p>
        </w:tc>
        <w:tc>
          <w:tcPr>
            <w:tcW w:type="dxa" w:w="23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9 → 4.5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Even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 → n/2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 residue. Strips one factor of 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50 → 25</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Even inputs halve cleanly because the factor of 2 is already present in the numerator. The halving consumes it exactly. 50 = 2 × 5² → 25 = 5²: the binary factor is stripped, the pentac-squared structure lands intact. Odd inputs carry no factor of 2 to be consumed, so the /2 remains in the denominator as a permanent residue.</w:t>
      </w:r>
    </w:p>
    <w:p>
      <w:pPr>
        <w:pStyle w:val="Heading1"/>
        <w:pBdr>
          <w:bottom w:val="single" w:color="3A1A0A" w:sz="6"/>
        </w:pBdr>
        <w:spacing w:before="360" w:after="160"/>
      </w:pPr>
      <w:r>
        <w:rPr>
          <w:rFonts w:ascii="Arial" w:cs="Arial" w:eastAsia="Arial" w:hAnsi="Arial"/>
          <w:b/>
          <w:bCs/>
          <w:color w:val="3A1A0A"/>
          <w:sz w:val="36"/>
          <w:szCs w:val="36"/>
        </w:rPr>
        <w:t xml:space="preserve">§2   The Dive Table</w:t>
      </w:r>
    </w:p>
    <w:p>
      <w:pPr>
        <w:pStyle w:val="Heading2"/>
        <w:spacing w:before="280" w:after="120"/>
      </w:pPr>
      <w:r>
        <w:rPr>
          <w:rFonts w:ascii="Arial" w:cs="Arial" w:eastAsia="Arial" w:hAnsi="Arial"/>
          <w:b/>
          <w:bCs/>
          <w:color w:val="6B3A1A"/>
          <w:sz w:val="28"/>
          <w:szCs w:val="28"/>
        </w:rPr>
        <w:t xml:space="preserve">§2.1   Named Structural Constants and Their Centers</w:t>
      </w:r>
    </w:p>
    <w:p>
      <w:pPr>
        <w:spacing w:before="80" w:after="80"/>
        <w:ind/>
        <w:jc w:val="left"/>
      </w:pPr>
      <w:r>
        <w:rPr>
          <w:rFonts w:ascii="Arial" w:cs="Arial" w:eastAsia="Arial" w:hAnsi="Arial"/>
          <w:b w:val="false"/>
          <w:bCs w:val="false"/>
          <w:color w:val="000000"/>
          <w:sz w:val="22"/>
          <w:szCs w:val="22"/>
        </w:rPr>
        <w:t xml:space="preserve">The five named odd structural constants of the system each perform the fulcrum operation. Each produces a half-integer center. Each half-integer lands just above the next named structural constant below it, bridged by exactly 0.5:</w:t>
      </w:r>
    </w:p>
    <w:p>
      <w:pPr>
        <w:spacing w:before="8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200"/>
        <w:gridCol w:w="2200"/>
        <w:gridCol w:w="3360"/>
      </w:tblGrid>
      <w:tr>
        <w:trPr>
          <w:tblHeader/>
        </w:trPr>
        <w:tc>
          <w:tcPr>
            <w:tcW w:type="dxa" w:w="10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18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Center</w:t>
            </w:r>
          </w:p>
        </w:tc>
        <w:tc>
          <w:tcPr>
            <w:tcW w:type="dxa" w:w="12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Decimal</w:t>
            </w:r>
          </w:p>
        </w:tc>
        <w:tc>
          <w:tcPr>
            <w:tcW w:type="dxa" w:w="22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Just above</w:t>
            </w:r>
          </w:p>
        </w:tc>
        <w:tc>
          <w:tcPr>
            <w:tcW w:type="dxa" w:w="336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Source identity</w:t>
            </w:r>
          </w:p>
        </w:tc>
      </w:tr>
      <w:tr>
        <w:tc>
          <w:tcPr>
            <w:tcW w:type="dxa" w:w="1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9</w:t>
            </w:r>
          </w:p>
        </w:tc>
        <w:tc>
          <w:tcPr>
            <w:tcW w:type="dxa" w:w="1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9/2 = 4.5</w:t>
            </w:r>
          </w:p>
        </w:tc>
        <w:tc>
          <w:tcPr>
            <w:tcW w:type="dxa" w:w="1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4.500</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dec10 ceiling (9)</w:t>
            </w:r>
          </w:p>
        </w:tc>
        <w:tc>
          <w:tcPr>
            <w:tcW w:type="dxa" w:w="33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Dec10 ceiling digit. Saturation value.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7/2 = 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BCS tower (7)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7-layer tower. 7×4=28 intersection nodes.</w:t>
            </w:r>
          </w:p>
        </w:tc>
      </w:tr>
      <w:tr>
        <w:tc>
          <w:tcPr>
            <w:tcW w:type="dxa" w:w="1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5/2 = 2.5</w:t>
            </w:r>
          </w:p>
        </w:tc>
        <w:tc>
          <w:tcPr>
            <w:tcW w:type="dxa" w:w="1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2.500</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pentac (5)</w:t>
            </w:r>
          </w:p>
        </w:tc>
        <w:tc>
          <w:tcPr>
            <w:tcW w:type="dxa" w:w="33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Base-5. DoFoF rotation axis. Rev10 anchor.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3/2 = 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ternary base (3)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Orbit generator. 3^k mod 43891.</w:t>
            </w:r>
          </w:p>
        </w:tc>
      </w:tr>
      <w:tr>
        <w:tc>
          <w:tcPr>
            <w:tcW w:type="dxa" w:w="1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1/2 = 0.5</w:t>
            </w:r>
          </w:p>
        </w:tc>
        <w:tc>
          <w:tcPr>
            <w:tcW w:type="dxa" w:w="1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0.500</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generator floor</w:t>
            </w:r>
          </w:p>
        </w:tc>
        <w:tc>
          <w:tcPr>
            <w:tcW w:type="dxa" w:w="33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U(1). Irreducible atom. Re(s)=1/2.</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Sum of all five centers: 9/2 + 7/2 + 5/2 + 3/2 + 1/2 = 25/2 = 12.5 = QT(12) + the irreducible half. The five structural constants contribute their centers and the total lands on the Leech shadow level plus the fulcrum residue that cannot be absorbed.</w:t>
      </w:r>
    </w:p>
    <w:p>
      <w:pPr>
        <w:spacing w:before="60" w:after="0"/>
      </w:pPr>
      <w:r>
        <w:t xml:space="preserve"/>
      </w:r>
    </w:p>
    <w:p>
      <w:pPr>
        <w:pBdr>
          <w:top w:val="none" w:color="auto" w:sz="0"/>
          <w:bottom w:val="none" w:color="auto" w:sz="0"/>
          <w:left w:val="single" w:color="8B5A2A" w:sz="8"/>
          <w:right w:val="none" w:color="auto" w:sz="0"/>
        </w:pBdr>
        <w:spacing w:before="100" w:after="100"/>
        <w:ind w:left="560"/>
      </w:pPr>
      <w:r>
        <w:rPr>
          <w:rFonts w:ascii="Arial" w:cs="Arial" w:eastAsia="Arial" w:hAnsi="Arial"/>
          <w:color w:val="444444"/>
          <w:sz w:val="20"/>
          <w:szCs w:val="20"/>
        </w:rPr>
        <w:t xml:space="preserve">The .5 at the bottom (1 → 0.5) is Re(s) = 1/2. The generator finds its center at the Riemann critical line. This is not a coincidence — it is the same geometric fact at the smallest possible scale.</w:t>
      </w:r>
    </w:p>
    <w:p>
      <w:pPr>
        <w:pStyle w:val="Heading2"/>
        <w:spacing w:before="280" w:after="120"/>
      </w:pPr>
      <w:r>
        <w:rPr>
          <w:rFonts w:ascii="Arial" w:cs="Arial" w:eastAsia="Arial" w:hAnsi="Arial"/>
          <w:b/>
          <w:bCs/>
          <w:color w:val="6B3A1A"/>
          <w:sz w:val="28"/>
          <w:szCs w:val="28"/>
        </w:rPr>
        <w:t xml:space="preserve">§2.2   The Nine Sub-Integer Dives</w:t>
      </w:r>
    </w:p>
    <w:p>
      <w:pPr>
        <w:spacing w:before="80" w:after="80"/>
        <w:ind/>
        <w:jc w:val="left"/>
      </w:pPr>
      <w:r>
        <w:rPr>
          <w:rFonts w:ascii="Arial" w:cs="Arial" w:eastAsia="Arial" w:hAnsi="Arial"/>
          <w:b w:val="false"/>
          <w:bCs w:val="false"/>
          <w:color w:val="000000"/>
          <w:sz w:val="22"/>
          <w:szCs w:val="22"/>
        </w:rPr>
        <w:t xml:space="preserve">From 1.5 (the ternary base center), the dive continues through the sub-integer field. One dive for each dec10 placeholder — nine total. The numerator locks at 3 (the ternary base, the orbit generator) and never moves. Only the denominator advances, consuming one power of the binary base per dive:</w:t>
      </w:r>
    </w:p>
    <w:p>
      <w:pPr>
        <w:spacing w:before="60" w:after="0"/>
      </w:pPr>
      <w:r>
        <w:t xml:space="preserve"/>
      </w:r>
    </w:p>
    <w:p>
      <w:pPr>
        <w:spacing w:before="60" w:after="60"/>
        <w:ind w:left="560"/>
      </w:pPr>
      <w:r>
        <w:rPr>
          <w:rFonts w:ascii="Courier New" w:cs="Courier New" w:eastAsia="Courier New" w:hAnsi="Courier New"/>
          <w:b w:val="false"/>
          <w:bCs w:val="false"/>
          <w:color w:val="3A1A0A"/>
          <w:sz w:val="20"/>
          <w:szCs w:val="20"/>
        </w:rPr>
        <w:t xml:space="preserve">All sub-integer values: 3/2ⁿ where n advances from 1 to 6</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000"/>
        <w:gridCol w:w="1200"/>
        <w:gridCol w:w="2000"/>
        <w:gridCol w:w="3460"/>
      </w:tblGrid>
      <w:tr>
        <w:trPr>
          <w:tblHeader/>
        </w:trPr>
        <w:tc>
          <w:tcPr>
            <w:tcW w:type="dxa" w:w="7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Dive</w:t>
            </w:r>
          </w:p>
        </w:tc>
        <w:tc>
          <w:tcPr>
            <w:tcW w:type="dxa" w:w="10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From</w:t>
            </w:r>
          </w:p>
        </w:tc>
        <w:tc>
          <w:tcPr>
            <w:tcW w:type="dxa" w:w="10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To</w:t>
            </w:r>
          </w:p>
        </w:tc>
        <w:tc>
          <w:tcPr>
            <w:tcW w:type="dxa" w:w="12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Decimal</w:t>
            </w:r>
          </w:p>
        </w:tc>
        <w:tc>
          <w:tcPr>
            <w:tcW w:type="dxa" w:w="20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Denominator</w:t>
            </w:r>
          </w:p>
        </w:tc>
        <w:tc>
          <w:tcPr>
            <w:tcW w:type="dxa" w:w="346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Named level</w:t>
            </w:r>
          </w:p>
        </w:tc>
      </w:tr>
      <w:tr>
        <w:tc>
          <w:tcPr>
            <w:tcW w:type="dxa" w:w="7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1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3/2</w:t>
            </w:r>
          </w:p>
        </w:tc>
        <w:tc>
          <w:tcPr>
            <w:tcW w:type="dxa" w:w="1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3/4</w:t>
            </w:r>
          </w:p>
        </w:tc>
        <w:tc>
          <w:tcPr>
            <w:tcW w:type="dxa" w:w="1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0.75000</w:t>
            </w:r>
          </w:p>
        </w:tc>
        <w:tc>
          <w:tcPr>
            <w:tcW w:type="dxa" w:w="2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2² = 4</w:t>
            </w:r>
          </w:p>
        </w:tc>
        <w:tc>
          <w:tcPr>
            <w:tcW w:type="dxa" w:w="34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Q(4)  —  quaternion / IPOV complete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0.37500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2³ = 8</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QD(8)  —  octonion / E8 rank</w:t>
            </w:r>
          </w:p>
        </w:tc>
      </w:tr>
      <w:tr>
        <w:tc>
          <w:tcPr>
            <w:tcW w:type="dxa" w:w="7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1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3/8</w:t>
            </w:r>
          </w:p>
        </w:tc>
        <w:tc>
          <w:tcPr>
            <w:tcW w:type="dxa" w:w="1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3/16</w:t>
            </w:r>
          </w:p>
        </w:tc>
        <w:tc>
          <w:tcPr>
            <w:tcW w:type="dxa" w:w="1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0.18750</w:t>
            </w:r>
          </w:p>
        </w:tc>
        <w:tc>
          <w:tcPr>
            <w:tcW w:type="dxa" w:w="2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2⁴ = 16</w:t>
            </w:r>
          </w:p>
        </w:tc>
        <w:tc>
          <w:tcPr>
            <w:tcW w:type="dxa" w:w="34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QQ(16)  —  Monster basement floor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0.09375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2⁵ = 32</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Monster basement × binary</w:t>
            </w:r>
          </w:p>
        </w:tc>
      </w:tr>
      <w:tr>
        <w:tc>
          <w:tcPr>
            <w:tcW w:type="dxa" w:w="7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1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3/32</w:t>
            </w:r>
          </w:p>
        </w:tc>
        <w:tc>
          <w:tcPr>
            <w:tcW w:type="dxa" w:w="1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3/64</w:t>
            </w:r>
          </w:p>
        </w:tc>
        <w:tc>
          <w:tcPr>
            <w:tcW w:type="dxa" w:w="1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0.04688</w:t>
            </w:r>
          </w:p>
        </w:tc>
        <w:tc>
          <w:tcPr>
            <w:tcW w:type="dxa" w:w="2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2⁶ = 64</w:t>
            </w:r>
          </w:p>
        </w:tc>
        <w:tc>
          <w:tcPr>
            <w:tcW w:type="dxa" w:w="34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Monster basement × Q(4)  —  lower buoy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continue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3/1024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0.00293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2¹⁰ = 1024</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Ternary-binary floor (informational)</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Dives 1–3 pass through the three named operational algebra levels in sequence: quaternion → octonion → Monster basement. The rec10 structural spine, descended in reverse. Dives 4–5 extend past the Monster basement into its binary subdivisions. The dive terminates at 3/64 for the nine dec10 placeholders — the lower buoy position.</w:t>
      </w:r>
    </w:p>
    <w:p>
      <w:pPr>
        <w:spacing w:before="80" w:after="0"/>
      </w:pPr>
      <w:r>
        <w:t xml:space="preserve"/>
      </w:r>
    </w:p>
    <w:p>
      <w:pPr>
        <w:pBdr>
          <w:top w:val="none" w:color="auto" w:sz="0"/>
          <w:bottom w:val="none" w:color="auto" w:sz="0"/>
          <w:left w:val="single" w:color="8B5A2A" w:sz="8"/>
          <w:right w:val="none" w:color="auto" w:sz="0"/>
        </w:pBdr>
        <w:spacing w:before="100" w:after="100"/>
        <w:ind w:left="560"/>
      </w:pPr>
      <w:r>
        <w:rPr>
          <w:rFonts w:ascii="Arial" w:cs="Arial" w:eastAsia="Arial" w:hAnsi="Arial"/>
          <w:color w:val="444444"/>
          <w:sz w:val="20"/>
          <w:szCs w:val="20"/>
        </w:rPr>
        <w:t xml:space="preserve">The ternary numerator (3) is indestructible. The binary denominator is unstoppable. They are coprime — 3/2ⁿ never simplifies to zero. The dive is the ternary-binary tension expressed as a sequence, one placeholder at a time.</w:t>
      </w:r>
    </w:p>
    <w:p>
      <w:pPr>
        <w:pStyle w:val="Heading2"/>
        <w:spacing w:before="280" w:after="120"/>
      </w:pPr>
      <w:r>
        <w:rPr>
          <w:rFonts w:ascii="Arial" w:cs="Arial" w:eastAsia="Arial" w:hAnsi="Arial"/>
          <w:b/>
          <w:bCs/>
          <w:color w:val="6B3A1A"/>
          <w:sz w:val="28"/>
          <w:szCs w:val="28"/>
        </w:rPr>
        <w:t xml:space="preserve">§2.3   The 1/α Pointer</w:t>
      </w:r>
    </w:p>
    <w:p>
      <w:pPr>
        <w:spacing w:before="80" w:after="80"/>
        <w:ind/>
        <w:jc w:val="left"/>
      </w:pPr>
      <w:r>
        <w:rPr>
          <w:rFonts w:ascii="Arial" w:cs="Arial" w:eastAsia="Arial" w:hAnsi="Arial"/>
          <w:b w:val="false"/>
          <w:bCs w:val="false"/>
          <w:color w:val="000000"/>
          <w:sz w:val="22"/>
          <w:szCs w:val="22"/>
        </w:rPr>
        <w:t xml:space="preserve">The nine-dive sequence from the ternary base terminates pointing at the fine structure constant without landing on it:</w:t>
      </w:r>
    </w:p>
    <w:p>
      <w:pPr>
        <w:spacing w:before="60" w:after="0"/>
      </w:pPr>
      <w:r>
        <w:t xml:space="preserve"/>
      </w:r>
    </w:p>
    <w:p>
      <w:pPr>
        <w:spacing w:before="60" w:after="60"/>
        <w:ind w:left="560"/>
      </w:pPr>
      <w:r>
        <w:rPr>
          <w:rFonts w:ascii="Courier New" w:cs="Courier New" w:eastAsia="Courier New" w:hAnsi="Courier New"/>
          <w:b w:val="false"/>
          <w:bCs w:val="false"/>
          <w:color w:val="3A1A0A"/>
          <w:sz w:val="20"/>
          <w:szCs w:val="20"/>
        </w:rPr>
        <w:t xml:space="preserve">Dive 5 landing:  3/64  = 0.046875   ← above</w:t>
      </w:r>
    </w:p>
    <w:p>
      <w:pPr>
        <w:spacing w:before="60" w:after="60"/>
        <w:ind w:left="560"/>
      </w:pPr>
      <w:r>
        <w:rPr>
          <w:rFonts w:ascii="Courier New" w:cs="Courier New" w:eastAsia="Courier New" w:hAnsi="Courier New"/>
          <w:b w:val="false"/>
          <w:bCs w:val="false"/>
          <w:color w:val="3A1A0A"/>
          <w:sz w:val="20"/>
          <w:szCs w:val="20"/>
        </w:rPr>
        <w:t xml:space="preserve">1/α fractional:       = 0.035999   ← sits here (46.4% down the bracket)</w:t>
      </w:r>
    </w:p>
    <w:p>
      <w:pPr>
        <w:spacing w:before="60" w:after="60"/>
        <w:ind w:left="560"/>
      </w:pPr>
      <w:r>
        <w:rPr>
          <w:rFonts w:ascii="Courier New" w:cs="Courier New" w:eastAsia="Courier New" w:hAnsi="Courier New"/>
          <w:b w:val="false"/>
          <w:bCs w:val="false"/>
          <w:color w:val="3A1A0A"/>
          <w:sz w:val="20"/>
          <w:szCs w:val="20"/>
        </w:rPr>
        <w:t xml:space="preserve">Dive 6 landing:  3/128 = 0.023438   ← below  (would be dive 6 if continued)</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nine dives stop one step above 1/α. The sequence does not pass through it. It points at it. The Level 1 and Level 2 corrections derived in the rec10 formulation (1580/43890 and 170/43890²) are the structural refinements that locate 1/α precisely within the bracket that the 5th and 6th dives define.</w:t>
      </w:r>
    </w:p>
    <w:p>
      <w:pPr>
        <w:pStyle w:val="Heading1"/>
        <w:pBdr>
          <w:bottom w:val="single" w:color="3A1A0A" w:sz="6"/>
        </w:pBdr>
        <w:spacing w:before="360" w:after="160"/>
      </w:pPr>
      <w:r>
        <w:rPr>
          <w:rFonts w:ascii="Arial" w:cs="Arial" w:eastAsia="Arial" w:hAnsi="Arial"/>
          <w:b/>
          <w:bCs/>
          <w:color w:val="3A1A0A"/>
          <w:sz w:val="36"/>
          <w:szCs w:val="36"/>
        </w:rPr>
        <w:t xml:space="preserve">§3   The Upper Register Staircase</w:t>
      </w:r>
    </w:p>
    <w:p>
      <w:pPr>
        <w:spacing w:before="80" w:after="80"/>
        <w:ind/>
        <w:jc w:val="left"/>
      </w:pPr>
      <w:r>
        <w:rPr>
          <w:rFonts w:ascii="Arial" w:cs="Arial" w:eastAsia="Arial" w:hAnsi="Arial"/>
          <w:b w:val="false"/>
          <w:bCs w:val="false"/>
          <w:color w:val="000000"/>
          <w:sz w:val="22"/>
          <w:szCs w:val="22"/>
        </w:rPr>
        <w:t xml:space="preserve">The fulcrum operation applied to the five odd numbers from 11 to 19 produces a descending staircase. Each source number is separated from the next by 2 (the binary base). Each landing is exactly 0.5 above the next named structural constant below it:</w:t>
      </w:r>
    </w:p>
    <w:p>
      <w:pPr>
        <w:spacing w:before="8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200"/>
        <w:gridCol w:w="5160"/>
      </w:tblGrid>
      <w:tr>
        <w:trPr>
          <w:tblHeader/>
        </w:trPr>
        <w:tc>
          <w:tcPr>
            <w:tcW w:type="dxa" w:w="10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12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Center</w:t>
            </w:r>
          </w:p>
        </w:tc>
        <w:tc>
          <w:tcPr>
            <w:tcW w:type="dxa" w:w="22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Just above</w:t>
            </w:r>
          </w:p>
        </w:tc>
        <w:tc>
          <w:tcPr>
            <w:tcW w:type="dxa" w:w="516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Source identity</w:t>
            </w:r>
          </w:p>
        </w:tc>
      </w:tr>
      <w:tr>
        <w:tc>
          <w:tcPr>
            <w:tcW w:type="dxa" w:w="1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19</w:t>
            </w:r>
          </w:p>
        </w:tc>
        <w:tc>
          <w:tcPr>
            <w:tcW w:type="dxa" w:w="1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9.5</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dec10 ceiling (9)</w:t>
            </w:r>
          </w:p>
        </w:tc>
        <w:tc>
          <w:tcPr>
            <w:tcW w:type="dxa" w:w="51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Largest prime factor of orbit period. Base-19 closure.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E8 rank (8)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IPOV DoF / EM generator. Excluded from orbit period.</w:t>
            </w:r>
          </w:p>
        </w:tc>
      </w:tr>
      <w:tr>
        <w:tc>
          <w:tcPr>
            <w:tcW w:type="dxa" w:w="1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15</w:t>
            </w:r>
          </w:p>
        </w:tc>
        <w:tc>
          <w:tcPr>
            <w:tcW w:type="dxa" w:w="1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7.5</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BCS tower (7)</w:t>
            </w:r>
          </w:p>
        </w:tc>
        <w:tc>
          <w:tcPr>
            <w:tcW w:type="dxa" w:w="51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15 = 3×5 = ternary × pentac. Bridge between excluded constants.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ring TD(6)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Window gate / E8 entry via DoFoF. Excluded from orbit period.</w:t>
            </w:r>
          </w:p>
        </w:tc>
      </w:tr>
      <w:tr>
        <w:tc>
          <w:tcPr>
            <w:tcW w:type="dxa" w:w="1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11</w:t>
            </w:r>
          </w:p>
        </w:tc>
        <w:tc>
          <w:tcPr>
            <w:tcW w:type="dxa" w:w="1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5.5</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pentac (5)</w:t>
            </w:r>
          </w:p>
        </w:tc>
        <w:tc>
          <w:tcPr>
            <w:tcW w:type="dxa" w:w="51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Orbit prime. Monster interior component (231=3×7×11).</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Sum of all five upper register landings: 9.5+8.5+7.5+6.5+5.5 = 37.5 = 75/2 = (3×5²)/2. Ternary × pentac-squared over binary. The three foundational bases of the system in one fraction.</w:t>
      </w:r>
    </w:p>
    <w:p>
      <w:pPr>
        <w:spacing w:before="60" w:after="0"/>
      </w:pPr>
      <w:r>
        <w:t xml:space="preserve"/>
      </w:r>
    </w:p>
    <w:p>
      <w:pPr>
        <w:pBdr>
          <w:top w:val="none" w:color="auto" w:sz="0"/>
          <w:bottom w:val="none" w:color="auto" w:sz="0"/>
          <w:left w:val="single" w:color="8B5A2A" w:sz="8"/>
          <w:right w:val="none" w:color="auto" w:sz="0"/>
        </w:pBdr>
        <w:spacing w:before="100" w:after="100"/>
        <w:ind w:left="560"/>
      </w:pPr>
      <w:r>
        <w:rPr>
          <w:rFonts w:ascii="Arial" w:cs="Arial" w:eastAsia="Arial" w:hAnsi="Arial"/>
          <w:color w:val="444444"/>
          <w:sz w:val="20"/>
          <w:szCs w:val="20"/>
        </w:rPr>
        <w:t xml:space="preserve">19 and 11 are included in the orbit period (43890=2×3×5×7×11×19). 17 and 13 are excluded — deposited at specific orbit steps instead. 15=3×5 sits between them as the product of two orbit-included bases. The five sources span both sides of the inclusion boundary.</w:t>
      </w:r>
    </w:p>
    <w:p>
      <w:pPr>
        <w:pStyle w:val="Heading1"/>
        <w:pBdr>
          <w:bottom w:val="single" w:color="3A1A0A" w:sz="6"/>
        </w:pBdr>
        <w:spacing w:before="360" w:after="160"/>
      </w:pPr>
      <w:r>
        <w:rPr>
          <w:rFonts w:ascii="Arial" w:cs="Arial" w:eastAsia="Arial" w:hAnsi="Arial"/>
          <w:b/>
          <w:bCs/>
          <w:color w:val="3A1A0A"/>
          <w:sz w:val="36"/>
          <w:szCs w:val="36"/>
        </w:rPr>
        <w:t xml:space="preserve">§4   The See-Saw</w:t>
      </w:r>
    </w:p>
    <w:p>
      <w:pPr>
        <w:pStyle w:val="Heading2"/>
        <w:spacing w:before="280" w:after="120"/>
      </w:pPr>
      <w:r>
        <w:rPr>
          <w:rFonts w:ascii="Arial" w:cs="Arial" w:eastAsia="Arial" w:hAnsi="Arial"/>
          <w:b/>
          <w:bCs/>
          <w:color w:val="6B3A1A"/>
          <w:sz w:val="28"/>
          <w:szCs w:val="28"/>
        </w:rPr>
        <w:t xml:space="preserve">§4.1   Structure</w:t>
      </w:r>
    </w:p>
    <w:p>
      <w:pPr>
        <w:spacing w:before="80" w:after="80"/>
        <w:ind/>
        <w:jc w:val="left"/>
      </w:pPr>
      <w:r>
        <w:rPr>
          <w:rFonts w:ascii="Arial" w:cs="Arial" w:eastAsia="Arial" w:hAnsi="Arial"/>
          <w:b w:val="false"/>
          <w:bCs w:val="false"/>
          <w:color w:val="000000"/>
          <w:sz w:val="22"/>
          <w:szCs w:val="22"/>
        </w:rPr>
        <w:t xml:space="preserve">The fulcrum at 4.5 is the pivot of a see-saw. The two arms extend in opposite directions from the coupling point:</w:t>
      </w:r>
    </w:p>
    <w:p>
      <w:pPr>
        <w:spacing w:before="8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2000"/>
        <w:gridCol w:w="1960"/>
      </w:tblGrid>
      <w:tr>
        <w:trPr>
          <w:tblHeader/>
        </w:trPr>
        <w:tc>
          <w:tcPr>
            <w:tcW w:type="dxa" w:w="12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Arm</w:t>
            </w:r>
          </w:p>
        </w:tc>
        <w:tc>
          <w:tcPr>
            <w:tcW w:type="dxa" w:w="24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Direction</w:t>
            </w:r>
          </w:p>
        </w:tc>
        <w:tc>
          <w:tcPr>
            <w:tcW w:type="dxa" w:w="20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Register</w:t>
            </w:r>
          </w:p>
        </w:tc>
        <w:tc>
          <w:tcPr>
            <w:tcW w:type="dxa" w:w="20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Range</w:t>
            </w:r>
          </w:p>
        </w:tc>
        <w:tc>
          <w:tcPr>
            <w:tcW w:type="dxa" w:w="196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Floor/Ceiling</w:t>
            </w:r>
          </w:p>
        </w:tc>
      </w:tr>
      <w:tr>
        <w:tc>
          <w:tcPr>
            <w:tcW w:type="dxa" w:w="1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Lower arm</w:t>
            </w:r>
          </w:p>
        </w:tc>
        <w:tc>
          <w:tcPr>
            <w:tcW w:type="dxa" w:w="24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Downward. Sub-integer. Ternary-binary tension.</w:t>
            </w:r>
          </w:p>
        </w:tc>
        <w:tc>
          <w:tcPr>
            <w:tcW w:type="dxa" w:w="2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3/2ⁿ sequence</w:t>
            </w:r>
          </w:p>
        </w:tc>
        <w:tc>
          <w:tcPr>
            <w:tcW w:type="dxa" w:w="2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1.5 down to 3/64</w:t>
            </w:r>
          </w:p>
        </w:tc>
        <w:tc>
          <w:tcPr>
            <w:tcW w:type="dxa" w:w="19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Lower buoy: 3/64 (points at 1/α)</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Upper arm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Upward. Named constants. Binary steps.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11–19 staircase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5.5 up to 9.5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Upper buoy: 19→9.5 (orbit ceiling)</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see-saw is not symmetric in length but is symmetric in structure: each arm terminates at a buoy that marks the boundary between named structure and open water. Below 3/64, the ternary-binary dive continues without named landings. Above 19→9.5, open water begins past the orbit ceiling.</w:t>
      </w:r>
    </w:p>
    <w:p>
      <w:pPr>
        <w:pStyle w:val="Heading2"/>
        <w:spacing w:before="280" w:after="120"/>
      </w:pPr>
      <w:r>
        <w:rPr>
          <w:rFonts w:ascii="Arial" w:cs="Arial" w:eastAsia="Arial" w:hAnsi="Arial"/>
          <w:b/>
          <w:bCs/>
          <w:color w:val="6B3A1A"/>
          <w:sz w:val="28"/>
          <w:szCs w:val="28"/>
        </w:rPr>
        <w:t xml:space="preserve">§4.2   The Coupling Identity</w:t>
      </w:r>
    </w:p>
    <w:p>
      <w:pPr>
        <w:spacing w:before="80" w:after="80"/>
        <w:ind/>
        <w:jc w:val="left"/>
      </w:pPr>
      <w:r>
        <w:rPr>
          <w:rFonts w:ascii="Arial" w:cs="Arial" w:eastAsia="Arial" w:hAnsi="Arial"/>
          <w:b w:val="false"/>
          <w:bCs w:val="false"/>
          <w:color w:val="000000"/>
          <w:sz w:val="22"/>
          <w:szCs w:val="22"/>
        </w:rPr>
        <w:t xml:space="preserve">The fulcrum sits at the exact midpoint between the rec10 structural unit and the rev10 structural unit:</w:t>
      </w:r>
    </w:p>
    <w:p>
      <w:pPr>
        <w:spacing w:before="60" w:after="0"/>
      </w:pPr>
      <w:r>
        <w:t xml:space="preserve"/>
      </w:r>
    </w:p>
    <w:p>
      <w:pPr>
        <w:spacing w:before="60" w:after="60"/>
        <w:ind w:left="560"/>
      </w:pPr>
      <w:r>
        <w:rPr>
          <w:rFonts w:ascii="Courier New" w:cs="Courier New" w:eastAsia="Courier New" w:hAnsi="Courier New"/>
          <w:b w:val="false"/>
          <w:bCs w:val="false"/>
          <w:color w:val="3A1A0A"/>
          <w:sz w:val="20"/>
          <w:szCs w:val="20"/>
        </w:rPr>
        <w:t xml:space="preserve">rec10 primary: Q(4)       —  distance from fulcrum: 4.5 − 4 = 0.5</w:t>
      </w:r>
    </w:p>
    <w:p>
      <w:pPr>
        <w:spacing w:before="60" w:after="60"/>
        <w:ind w:left="560"/>
      </w:pPr>
      <w:r>
        <w:rPr>
          <w:rFonts w:ascii="Courier New" w:cs="Courier New" w:eastAsia="Courier New" w:hAnsi="Courier New"/>
          <w:b w:val="false"/>
          <w:bCs w:val="false"/>
          <w:color w:val="3A1A0A"/>
          <w:sz w:val="20"/>
          <w:szCs w:val="20"/>
        </w:rPr>
        <w:t xml:space="preserve">rev10 primary: pentac(5)  —  distance from fulcrum: 5 − 4.5 = 0.5</w:t>
      </w:r>
    </w:p>
    <w:p>
      <w:pPr>
        <w:spacing w:before="60" w:after="60"/>
        <w:ind w:left="560"/>
      </w:pPr>
      <w:r>
        <w:rPr>
          <w:rFonts w:ascii="Courier New" w:cs="Courier New" w:eastAsia="Courier New" w:hAnsi="Courier New"/>
          <w:b w:val="false"/>
          <w:bCs w:val="false"/>
          <w:color w:val="3A1A0A"/>
          <w:sz w:val="20"/>
          <w:szCs w:val="20"/>
        </w:rPr>
        <w:t xml:space="preserve">(4 + 5) / 2 = 4.5  —  the fulcrum IS the midpoint of rec10 and rev10</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From the fulcrum, rec10 and rev10 are equidistant. Neither dominates. The fulcrum is the origin of the diagonalized frame: the position from which both channels separate at equal distance in opposite directions. Rec10 eigenvector: −0.5 to Q(4). Rev10 eigenvector: +0.5 to pentac(5). The full diagonalization formalism is a queue item; the origin is established here.</w:t>
      </w:r>
    </w:p>
    <w:p>
      <w:pPr>
        <w:pStyle w:val="Heading2"/>
        <w:spacing w:before="280" w:after="120"/>
      </w:pPr>
      <w:r>
        <w:rPr>
          <w:rFonts w:ascii="Arial" w:cs="Arial" w:eastAsia="Arial" w:hAnsi="Arial"/>
          <w:b/>
          <w:bCs/>
          <w:color w:val="6B3A1A"/>
          <w:sz w:val="28"/>
          <w:szCs w:val="28"/>
        </w:rPr>
        <w:t xml:space="preserve">§4.3   The Buoys</w:t>
      </w:r>
    </w:p>
    <w:p>
      <w:pPr>
        <w:spacing w:before="80" w:after="80"/>
        <w:ind/>
        <w:jc w:val="left"/>
      </w:pPr>
      <w:r>
        <w:rPr>
          <w:rFonts w:ascii="Arial" w:cs="Arial" w:eastAsia="Arial" w:hAnsi="Arial"/>
          <w:b w:val="false"/>
          <w:bCs w:val="false"/>
          <w:color w:val="000000"/>
          <w:sz w:val="22"/>
          <w:szCs w:val="22"/>
        </w:rPr>
        <w:t xml:space="preserve">The buoys are positional markers at the far ends of the see-saw arms. They are not landing points in the operational sense. They mark where named structure ends and open water begins: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60"/>
      </w:tblGrid>
      <w:tr>
        <w:trPr>
          <w:tblHeader/>
        </w:trPr>
        <w:tc>
          <w:tcPr>
            <w:tcW w:type="dxa" w:w="16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Buoy</w:t>
            </w:r>
          </w:p>
        </w:tc>
        <w:tc>
          <w:tcPr>
            <w:tcW w:type="dxa" w:w="24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Position</w:t>
            </w:r>
          </w:p>
        </w:tc>
        <w:tc>
          <w:tcPr>
            <w:tcW w:type="dxa" w:w="30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Marks</w:t>
            </w:r>
          </w:p>
        </w:tc>
        <w:tc>
          <w:tcPr>
            <w:tcW w:type="dxa" w:w="236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What lies beyond</w:t>
            </w:r>
          </w:p>
        </w:tc>
      </w:tr>
      <w:tr>
        <w:tc>
          <w:tcPr>
            <w:tcW w:type="dxa" w:w="16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Lower buoy</w:t>
            </w:r>
          </w:p>
        </w:tc>
        <w:tc>
          <w:tcPr>
            <w:tcW w:type="dxa" w:w="24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3/64 = 0.046875</w:t>
            </w:r>
          </w:p>
        </w:tc>
        <w:tc>
          <w:tcPr>
            <w:tcW w:type="dxa" w:w="3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Lower arm terminus. Points at 1/α from above.</w:t>
            </w:r>
          </w:p>
        </w:tc>
        <w:tc>
          <w:tcPr>
            <w:tcW w:type="dxa" w:w="23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Continued ternary-binary dive. 1/α one step below.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Upper buoy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19 → 9.5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Upper arm terminus. Orbit ceiling center.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Open water. No named constants above 19.</w:t>
            </w:r>
          </w:p>
        </w:tc>
      </w:tr>
    </w:tbl>
    <w:p>
      <w:pPr>
        <w:spacing w:before="80" w:after="0"/>
      </w:pPr>
      <w:r>
        <w:t xml:space="preserve"/>
      </w:r>
    </w:p>
    <w:p>
      <w:pPr>
        <w:pBdr>
          <w:top w:val="none" w:color="auto" w:sz="0"/>
          <w:bottom w:val="none" w:color="auto" w:sz="0"/>
          <w:left w:val="single" w:color="8B5A2A" w:sz="8"/>
          <w:right w:val="none" w:color="auto" w:sz="0"/>
        </w:pBdr>
        <w:spacing w:before="100" w:after="100"/>
        <w:ind w:left="560"/>
      </w:pPr>
      <w:r>
        <w:rPr>
          <w:rFonts w:ascii="Arial" w:cs="Arial" w:eastAsia="Arial" w:hAnsi="Arial"/>
          <w:color w:val="444444"/>
          <w:sz w:val="20"/>
          <w:szCs w:val="20"/>
        </w:rPr>
        <w:t xml:space="preserve">Mnemonic: a far-out buoy. Not a boundary — a marker. The see-saw arm is readable past the buoy by factoring. Structure does not stop at the buoy. Named structure stops. The system continues.</w:t>
      </w:r>
    </w:p>
    <w:p>
      <w:pPr>
        <w:pStyle w:val="Heading1"/>
        <w:pBdr>
          <w:bottom w:val="single" w:color="3A1A0A" w:sz="6"/>
        </w:pBdr>
        <w:spacing w:before="360" w:after="160"/>
      </w:pPr>
      <w:r>
        <w:rPr>
          <w:rFonts w:ascii="Arial" w:cs="Arial" w:eastAsia="Arial" w:hAnsi="Arial"/>
          <w:b/>
          <w:bCs/>
          <w:color w:val="3A1A0A"/>
          <w:sz w:val="36"/>
          <w:szCs w:val="36"/>
        </w:rPr>
        <w:t xml:space="preserve">§5   The Seam and Seal</w:t>
      </w:r>
    </w:p>
    <w:p>
      <w:pPr>
        <w:pStyle w:val="Heading2"/>
        <w:spacing w:before="280" w:after="120"/>
      </w:pPr>
      <w:r>
        <w:rPr>
          <w:rFonts w:ascii="Arial" w:cs="Arial" w:eastAsia="Arial" w:hAnsi="Arial"/>
          <w:b/>
          <w:bCs/>
          <w:color w:val="6B3A1A"/>
          <w:sz w:val="28"/>
          <w:szCs w:val="28"/>
        </w:rPr>
        <w:t xml:space="preserve">§5.1   11→1 and 12→1</w:t>
      </w:r>
    </w:p>
    <w:p>
      <w:pPr>
        <w:spacing w:before="80" w:after="80"/>
        <w:ind/>
        <w:jc w:val="left"/>
      </w:pPr>
      <w:r>
        <w:rPr>
          <w:rFonts w:ascii="Arial" w:cs="Arial" w:eastAsia="Arial" w:hAnsi="Arial"/>
          <w:b w:val="false"/>
          <w:bCs w:val="false"/>
          <w:color w:val="000000"/>
          <w:sz w:val="22"/>
          <w:szCs w:val="22"/>
        </w:rPr>
        <w:t xml:space="preserve">At the inner boundary of the upper arm, two collapse operations converge on the generator. These are not halvings. They are full-register collapses that define the seam: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1760"/>
      </w:tblGrid>
      <w:tr>
        <w:trPr>
          <w:tblHeader/>
        </w:trPr>
        <w:tc>
          <w:tcPr>
            <w:tcW w:type="dxa" w:w="16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Operation</w:t>
            </w:r>
          </w:p>
        </w:tc>
        <w:tc>
          <w:tcPr>
            <w:tcW w:type="dxa" w:w="20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Gap</w:t>
            </w:r>
          </w:p>
        </w:tc>
        <w:tc>
          <w:tcPr>
            <w:tcW w:type="dxa" w:w="20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Midpoint</w:t>
            </w:r>
          </w:p>
        </w:tc>
        <w:tc>
          <w:tcPr>
            <w:tcW w:type="dxa" w:w="20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Ratio</w:t>
            </w:r>
          </w:p>
        </w:tc>
        <w:tc>
          <w:tcPr>
            <w:tcW w:type="dxa" w:w="176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Seal point</w:t>
            </w:r>
          </w:p>
        </w:tc>
      </w:tr>
      <w:tr>
        <w:tc>
          <w:tcPr>
            <w:tcW w:type="dxa" w:w="16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11 → 1</w:t>
            </w:r>
          </w:p>
        </w:tc>
        <w:tc>
          <w:tcPr>
            <w:tcW w:type="dxa" w:w="2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10 = dec10 base</w:t>
            </w:r>
          </w:p>
        </w:tc>
        <w:tc>
          <w:tcPr>
            <w:tcW w:type="dxa" w:w="2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6 = ring TD(6)</w:t>
            </w:r>
          </w:p>
        </w:tc>
        <w:tc>
          <w:tcPr>
            <w:tcW w:type="dxa" w:w="2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11 = orbit prime</w:t>
            </w:r>
          </w:p>
        </w:tc>
        <w:tc>
          <w:tcPr>
            <w:tcW w:type="dxa" w:w="17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U(1) generator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12 →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11 = orbit prime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6.5 = ring+0.5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12 = QT(12)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U(1) generator</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11→1 crosses every named structural constant between 2 and 10. The gap is the dec10 base (10). The entire operational algebra spine fits inside it. 12→1 crosses 11 (the orbit prime, the Monster interior component). The Leech shadow level (QT=12) collapsing to the generator with exactly 11 as the gap.</w:t>
      </w:r>
    </w:p>
    <w:p>
      <w:pPr>
        <w:pStyle w:val="Heading2"/>
        <w:spacing w:before="280" w:after="120"/>
      </w:pPr>
      <w:r>
        <w:rPr>
          <w:rFonts w:ascii="Arial" w:cs="Arial" w:eastAsia="Arial" w:hAnsi="Arial"/>
          <w:b/>
          <w:bCs/>
          <w:color w:val="6B3A1A"/>
          <w:sz w:val="28"/>
          <w:szCs w:val="28"/>
        </w:rPr>
        <w:t xml:space="preserve">§5.2   The Mirror Structure</w:t>
      </w:r>
    </w:p>
    <w:p>
      <w:pPr>
        <w:spacing w:before="80" w:after="80"/>
        <w:ind/>
        <w:jc w:val="left"/>
      </w:pPr>
      <w:r>
        <w:rPr>
          <w:rFonts w:ascii="Arial" w:cs="Arial" w:eastAsia="Arial" w:hAnsi="Arial"/>
          <w:b w:val="false"/>
          <w:bCs w:val="false"/>
          <w:color w:val="000000"/>
          <w:sz w:val="22"/>
          <w:szCs w:val="22"/>
        </w:rPr>
        <w:t xml:space="preserve">11 and 12 are interlocked across the seam:</w:t>
      </w:r>
    </w:p>
    <w:p>
      <w:pPr>
        <w:spacing w:before="60" w:after="0"/>
      </w:pPr>
      <w:r>
        <w:t xml:space="preserve"/>
      </w:r>
    </w:p>
    <w:p>
      <w:pPr>
        <w:spacing w:before="60" w:after="60"/>
        <w:ind w:left="560"/>
      </w:pPr>
      <w:r>
        <w:rPr>
          <w:rFonts w:ascii="Courier New" w:cs="Courier New" w:eastAsia="Courier New" w:hAnsi="Courier New"/>
          <w:b w:val="false"/>
          <w:bCs w:val="false"/>
          <w:color w:val="3A1A0A"/>
          <w:sz w:val="20"/>
          <w:szCs w:val="20"/>
        </w:rPr>
        <w:t xml:space="preserve">11 → 1:  gap = 10 (dec10).  11 is the ratio.  11 provides 12’s gap.</w:t>
      </w:r>
    </w:p>
    <w:p>
      <w:pPr>
        <w:spacing w:before="60" w:after="60"/>
        <w:ind w:left="560"/>
      </w:pPr>
      <w:r>
        <w:rPr>
          <w:rFonts w:ascii="Courier New" w:cs="Courier New" w:eastAsia="Courier New" w:hAnsi="Courier New"/>
          <w:b w:val="false"/>
          <w:bCs w:val="false"/>
          <w:color w:val="3A1A0A"/>
          <w:sz w:val="20"/>
          <w:szCs w:val="20"/>
        </w:rPr>
        <w:t xml:space="preserve">12 → 1:  gap = 11 (orbit prime).  12 is the ratio.  12 provides 11’s gap.</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Each carries the other's identity as its gap. Neither is primary. The midpoints converge on the ring: 11→1 midpoint = 6 (ring exactly), 12→1 midpoint = 6.5 (ring + 0.5). Both collapses are sealed against the ring and close at the generator. The ring is what the seam is sealed against. The generator is the seal point.</w:t>
      </w:r>
    </w:p>
    <w:p>
      <w:pPr>
        <w:spacing w:before="80" w:after="0"/>
      </w:pPr>
      <w:r>
        <w:t xml:space="preserve"/>
      </w:r>
    </w:p>
    <w:p>
      <w:pPr>
        <w:pBdr>
          <w:top w:val="none" w:color="auto" w:sz="0"/>
          <w:bottom w:val="none" w:color="auto" w:sz="0"/>
          <w:left w:val="single" w:color="8B5A2A" w:sz="8"/>
          <w:right w:val="none" w:color="auto" w:sz="0"/>
        </w:pBdr>
        <w:spacing w:before="100" w:after="100"/>
        <w:ind w:left="560"/>
      </w:pPr>
      <w:r>
        <w:rPr>
          <w:rFonts w:ascii="Arial" w:cs="Arial" w:eastAsia="Arial" w:hAnsi="Arial"/>
          <w:color w:val="444444"/>
          <w:sz w:val="20"/>
          <w:szCs w:val="20"/>
        </w:rPr>
        <w:t xml:space="preserve">11 holds three simultaneous positions: factor of the orbit period (included), component of the Monster interior gap 231=3×7×11 (inside the E8-Monster gap), and the exact measure of the 12→1 collapse. Three positions at once. This is what a seam stitch does.</w:t>
      </w:r>
    </w:p>
    <w:p>
      <w:pPr>
        <w:pStyle w:val="Heading1"/>
        <w:pBdr>
          <w:bottom w:val="single" w:color="3A1A0A" w:sz="6"/>
        </w:pBdr>
        <w:spacing w:before="360" w:after="160"/>
      </w:pPr>
      <w:r>
        <w:rPr>
          <w:rFonts w:ascii="Arial" w:cs="Arial" w:eastAsia="Arial" w:hAnsi="Arial"/>
          <w:b/>
          <w:bCs/>
          <w:color w:val="3A1A0A"/>
          <w:sz w:val="36"/>
          <w:szCs w:val="36"/>
        </w:rPr>
        <w:t xml:space="preserve">§6   Depth Invariance  —  The Self-Similarity Proof</w:t>
      </w:r>
    </w:p>
    <w:p>
      <w:pPr>
        <w:pStyle w:val="Heading2"/>
        <w:spacing w:before="280" w:after="120"/>
      </w:pPr>
      <w:r>
        <w:rPr>
          <w:rFonts w:ascii="Arial" w:cs="Arial" w:eastAsia="Arial" w:hAnsi="Arial"/>
          <w:b/>
          <w:bCs/>
          <w:color w:val="6B3A1A"/>
          <w:sz w:val="28"/>
          <w:szCs w:val="28"/>
        </w:rPr>
        <w:t xml:space="preserve">§6.1   The Invariant</w:t>
      </w:r>
    </w:p>
    <w:p>
      <w:pPr>
        <w:spacing w:before="80" w:after="80"/>
        <w:ind/>
        <w:jc w:val="left"/>
      </w:pPr>
      <w:r>
        <w:rPr>
          <w:rFonts w:ascii="Arial" w:cs="Arial" w:eastAsia="Arial" w:hAnsi="Arial"/>
          <w:b w:val="false"/>
          <w:bCs w:val="false"/>
          <w:color w:val="000000"/>
          <w:sz w:val="22"/>
          <w:szCs w:val="22"/>
        </w:rPr>
        <w:t xml:space="preserve">At every dec10 decimalization depth d, the fulcrum ratio is exactly 1/2. Depth-independently. Without exception:</w:t>
      </w:r>
    </w:p>
    <w:p>
      <w:pPr>
        <w:spacing w:before="60" w:after="0"/>
      </w:pPr>
      <w:r>
        <w:t xml:space="preserve"/>
      </w:r>
    </w:p>
    <w:p>
      <w:pPr>
        <w:spacing w:before="60" w:after="60"/>
        <w:ind w:left="560"/>
      </w:pPr>
      <w:r>
        <w:rPr>
          <w:rFonts w:ascii="Courier New" w:cs="Courier New" w:eastAsia="Courier New" w:hAnsi="Courier New"/>
          <w:b w:val="false"/>
          <w:bCs w:val="false"/>
          <w:color w:val="3A1A0A"/>
          <w:sz w:val="20"/>
          <w:szCs w:val="20"/>
        </w:rPr>
        <w:t xml:space="preserve">fulcrum(d)  =  4.5 × 9^(d−1)</w:t>
      </w:r>
    </w:p>
    <w:p>
      <w:pPr>
        <w:spacing w:before="60" w:after="60"/>
        <w:ind w:left="560"/>
      </w:pPr>
      <w:r>
        <w:rPr>
          <w:rFonts w:ascii="Courier New" w:cs="Courier New" w:eastAsia="Courier New" w:hAnsi="Courier New"/>
          <w:b w:val="false"/>
          <w:bCs w:val="false"/>
          <w:color w:val="3A1A0A"/>
          <w:sz w:val="20"/>
          <w:szCs w:val="20"/>
        </w:rPr>
        <w:t xml:space="preserve">ratio(d)    =  fulcrum(d) / 9ᵈ  =  4.5 / 9  =  1/2  (always)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200"/>
        <w:gridCol w:w="2360"/>
      </w:tblGrid>
      <w:tr>
        <w:trPr>
          <w:tblHeader/>
        </w:trPr>
        <w:tc>
          <w:tcPr>
            <w:tcW w:type="dxa" w:w="10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Depth d</w:t>
            </w:r>
          </w:p>
        </w:tc>
        <w:tc>
          <w:tcPr>
            <w:tcW w:type="dxa" w:w="28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Sub-positions (9ᵈ)</w:t>
            </w:r>
          </w:p>
        </w:tc>
        <w:tc>
          <w:tcPr>
            <w:tcW w:type="dxa" w:w="32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Fulcrum</w:t>
            </w:r>
          </w:p>
        </w:tc>
        <w:tc>
          <w:tcPr>
            <w:tcW w:type="dxa" w:w="236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Ratio</w:t>
            </w:r>
          </w:p>
        </w:tc>
      </w:tr>
      <w:tr>
        <w:tc>
          <w:tcPr>
            <w:tcW w:type="dxa" w:w="1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9</w:t>
            </w:r>
          </w:p>
        </w:tc>
        <w:tc>
          <w:tcPr>
            <w:tcW w:type="dxa" w:w="3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4.5</w:t>
            </w:r>
          </w:p>
        </w:tc>
        <w:tc>
          <w:tcPr>
            <w:tcW w:type="dxa" w:w="23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40.5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1/2</w:t>
            </w:r>
          </w:p>
        </w:tc>
      </w:tr>
      <w:tr>
        <w:tc>
          <w:tcPr>
            <w:tcW w:type="dxa" w:w="1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729</w:t>
            </w:r>
          </w:p>
        </w:tc>
        <w:tc>
          <w:tcPr>
            <w:tcW w:type="dxa" w:w="3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364.5</w:t>
            </w:r>
          </w:p>
        </w:tc>
        <w:tc>
          <w:tcPr>
            <w:tcW w:type="dxa" w:w="23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6,561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3,280.5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1/2</w:t>
            </w:r>
          </w:p>
        </w:tc>
      </w:tr>
      <w:tr>
        <w:tc>
          <w:tcPr>
            <w:tcW w:type="dxa" w:w="1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59,049</w:t>
            </w:r>
          </w:p>
        </w:tc>
        <w:tc>
          <w:tcPr>
            <w:tcW w:type="dxa" w:w="3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29,524.5</w:t>
            </w:r>
          </w:p>
        </w:tc>
        <w:tc>
          <w:tcPr>
            <w:tcW w:type="dxa" w:w="23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531,441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265,720.5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1/2</w:t>
            </w:r>
          </w:p>
        </w:tc>
      </w:tr>
      <w:tr>
        <w:tc>
          <w:tcPr>
            <w:tcW w:type="dxa" w:w="1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7</w:t>
            </w:r>
          </w:p>
        </w:tc>
        <w:tc>
          <w:tcPr>
            <w:tcW w:type="dxa" w:w="2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4,782,969</w:t>
            </w:r>
          </w:p>
        </w:tc>
        <w:tc>
          <w:tcPr>
            <w:tcW w:type="dxa" w:w="3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2,391,484.5</w:t>
            </w:r>
          </w:p>
        </w:tc>
        <w:tc>
          <w:tcPr>
            <w:tcW w:type="dxa" w:w="23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43,046,721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21,523,360.5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1/2</w:t>
            </w:r>
          </w:p>
        </w:tc>
      </w:tr>
      <w:tr>
        <w:tc>
          <w:tcPr>
            <w:tcW w:type="dxa" w:w="1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9</w:t>
            </w:r>
          </w:p>
        </w:tc>
        <w:tc>
          <w:tcPr>
            <w:tcW w:type="dxa" w:w="2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387,420,489</w:t>
            </w:r>
          </w:p>
        </w:tc>
        <w:tc>
          <w:tcPr>
            <w:tcW w:type="dxa" w:w="3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193,710,244.5</w:t>
            </w:r>
          </w:p>
        </w:tc>
        <w:tc>
          <w:tcPr>
            <w:tcW w:type="dxa" w:w="23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1/2</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ratio is exactly 1/2 at every depth. The self-similarity is not approximate. It does not converge. It is the same exact fraction at depth 1 and depth 9 and every depth between. The fulcrum invariant is the dec10 field's deepest structural property.</w:t>
      </w:r>
    </w:p>
    <w:p>
      <w:pPr>
        <w:pStyle w:val="Heading2"/>
        <w:spacing w:before="280" w:after="120"/>
      </w:pPr>
      <w:r>
        <w:rPr>
          <w:rFonts w:ascii="Arial" w:cs="Arial" w:eastAsia="Arial" w:hAnsi="Arial"/>
          <w:b/>
          <w:bCs/>
          <w:color w:val="6B3A1A"/>
          <w:sz w:val="28"/>
          <w:szCs w:val="28"/>
        </w:rPr>
        <w:t xml:space="preserve">§6.2   Re(s) = 1/2 as the Depth Invariant</w:t>
      </w:r>
    </w:p>
    <w:p>
      <w:pPr>
        <w:spacing w:before="80" w:after="80"/>
        <w:ind/>
        <w:jc w:val="left"/>
      </w:pPr>
      <w:r>
        <w:rPr>
          <w:rFonts w:ascii="Arial" w:cs="Arial" w:eastAsia="Arial" w:hAnsi="Arial"/>
          <w:b w:val="false"/>
          <w:bCs w:val="false"/>
          <w:color w:val="000000"/>
          <w:sz w:val="22"/>
          <w:szCs w:val="22"/>
        </w:rPr>
        <w:t xml:space="preserve">The Riemann critical line Re(s) = 1/2 is the same fact expressed analytically. The non-trivial zeros of ζ(s) cluster on Re(s) = 1/2 because that is the depth-invariant fulcrum of the emergent substrate. The observer sits at 1/2 by construction — not because 1/2 is imposed, but because the observer is the center, and the center of any odd-structured field is always a half-integer.</w:t>
      </w:r>
    </w:p>
    <w:p>
      <w:pPr>
        <w:pStyle w:val="Heading1"/>
        <w:pBdr>
          <w:bottom w:val="single" w:color="3A1A0A" w:sz="6"/>
        </w:pBdr>
        <w:spacing w:before="360" w:after="160"/>
      </w:pPr>
      <w:r>
        <w:rPr>
          <w:rFonts w:ascii="Arial" w:cs="Arial" w:eastAsia="Arial" w:hAnsi="Arial"/>
          <w:b/>
          <w:bCs/>
          <w:color w:val="3A1A0A"/>
          <w:sz w:val="36"/>
          <w:szCs w:val="36"/>
        </w:rPr>
        <w:t xml:space="preserve">§7   The Lotus Scalar</w:t>
      </w:r>
    </w:p>
    <w:p>
      <w:pPr>
        <w:spacing w:before="80" w:after="80"/>
        <w:ind/>
        <w:jc w:val="left"/>
      </w:pPr>
      <w:r>
        <w:rPr>
          <w:rFonts w:ascii="Arial" w:cs="Arial" w:eastAsia="Arial" w:hAnsi="Arial"/>
          <w:b w:val="false"/>
          <w:bCs w:val="false"/>
          <w:color w:val="000000"/>
          <w:sz w:val="22"/>
          <w:szCs w:val="22"/>
        </w:rPr>
        <w:t xml:space="preserve">The fulcrum scales to the lotus constant via the Leech-binary product:</w:t>
      </w:r>
    </w:p>
    <w:p>
      <w:pPr>
        <w:spacing w:before="60" w:after="0"/>
      </w:pPr>
      <w:r>
        <w:t xml:space="preserve"/>
      </w:r>
    </w:p>
    <w:p>
      <w:pPr>
        <w:spacing w:before="60" w:after="60"/>
        <w:ind w:left="560"/>
      </w:pPr>
      <w:r>
        <w:rPr>
          <w:rFonts w:ascii="Courier New" w:cs="Courier New" w:eastAsia="Courier New" w:hAnsi="Courier New"/>
          <w:b w:val="false"/>
          <w:bCs w:val="false"/>
          <w:color w:val="3A1A0A"/>
          <w:sz w:val="20"/>
          <w:szCs w:val="20"/>
        </w:rPr>
        <w:t xml:space="preserve">4.5 × 24  =  108  =  lotus</w:t>
      </w:r>
    </w:p>
    <w:p>
      <w:pPr>
        <w:spacing w:before="60" w:after="60"/>
        <w:ind w:left="560"/>
      </w:pPr>
      <w:r>
        <w:rPr>
          <w:rFonts w:ascii="Courier New" w:cs="Courier New" w:eastAsia="Courier New" w:hAnsi="Courier New"/>
          <w:b w:val="false"/>
          <w:bCs w:val="false"/>
          <w:color w:val="3A1A0A"/>
          <w:sz w:val="20"/>
          <w:szCs w:val="20"/>
        </w:rPr>
        <w:t xml:space="preserve">24 = QT(12) × D(2) = Leech shadow × binary</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lotus (108 = 4×3³ = 80+28) is not independent of the fulcrum. It is the fulcrum expressed at the Leech-binary scale. The fulcrum × 24 = lotus. This means every structural relationship involving the lotus is also a statement about the fulcrum at a specific scale factor. The lotus identity (108 = 4th-gen-point + BCS-nodes = 80+28) and the fulcrum scalar are the same object read at different depths.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Expression</w:t>
            </w:r>
          </w:p>
        </w:tc>
        <w:tc>
          <w:tcPr>
            <w:tcW w:type="dxa" w:w="18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556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Identity</w:t>
            </w:r>
          </w:p>
        </w:tc>
      </w:tr>
      <w:tr>
        <w:tc>
          <w:tcPr>
            <w:tcW w:type="dxa" w:w="2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4.5 × 2</w:t>
            </w:r>
          </w:p>
        </w:tc>
        <w:tc>
          <w:tcPr>
            <w:tcW w:type="dxa" w:w="1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9</w:t>
            </w:r>
          </w:p>
        </w:tc>
        <w:tc>
          <w:tcPr>
            <w:tcW w:type="dxa" w:w="55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Back to dec10 ceiling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4.5 ×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2×9 = binary × ceiling</w:t>
            </w:r>
          </w:p>
        </w:tc>
      </w:tr>
      <w:tr>
        <w:tc>
          <w:tcPr>
            <w:tcW w:type="dxa" w:w="2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4.5 × 8</w:t>
            </w:r>
          </w:p>
        </w:tc>
        <w:tc>
          <w:tcPr>
            <w:tcW w:type="dxa" w:w="1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36</w:t>
            </w:r>
          </w:p>
        </w:tc>
        <w:tc>
          <w:tcPr>
            <w:tcW w:type="dxa" w:w="55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6² = ring squared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4.5 × 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108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Lotus = 4×3³</w:t>
            </w:r>
          </w:p>
        </w:tc>
      </w:tr>
      <w:tr>
        <w:tc>
          <w:tcPr>
            <w:tcW w:type="dxa" w:w="2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4.5 × 48</w:t>
            </w:r>
          </w:p>
        </w:tc>
        <w:tc>
          <w:tcPr>
            <w:tcW w:type="dxa" w:w="1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216</w:t>
            </w:r>
          </w:p>
        </w:tc>
        <w:tc>
          <w:tcPr>
            <w:tcW w:type="dxa" w:w="55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6³ = ring cubed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4.5²</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20.25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Gen point (20) + fulcrum-residue squared (0.25)</w:t>
            </w:r>
          </w:p>
        </w:tc>
      </w:tr>
      <w:tr>
        <w:tc>
          <w:tcPr>
            <w:tcW w:type="dxa" w:w="2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√4.5</w:t>
            </w:r>
          </w:p>
        </w:tc>
        <w:tc>
          <w:tcPr>
            <w:tcW w:type="dxa" w:w="1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2.121…</w:t>
            </w:r>
          </w:p>
        </w:tc>
        <w:tc>
          <w:tcPr>
            <w:tcW w:type="dxa" w:w="55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3/√2 = ternary / √binary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Inverse fulcrum: binary / ternary²</w:t>
            </w:r>
          </w:p>
        </w:tc>
      </w:tr>
    </w:tbl>
    <w:p>
      <w:pPr>
        <w:pStyle w:val="Heading1"/>
        <w:pBdr>
          <w:bottom w:val="single" w:color="3A1A0A" w:sz="6"/>
        </w:pBdr>
        <w:spacing w:before="360" w:after="160"/>
      </w:pPr>
      <w:r>
        <w:rPr>
          <w:rFonts w:ascii="Arial" w:cs="Arial" w:eastAsia="Arial" w:hAnsi="Arial"/>
          <w:b/>
          <w:bCs/>
          <w:color w:val="3A1A0A"/>
          <w:sz w:val="36"/>
          <w:szCs w:val="36"/>
        </w:rPr>
        <w:t xml:space="preserve">§8   Ground State and Observer Positioning</w:t>
      </w:r>
    </w:p>
    <w:p>
      <w:pPr>
        <w:pStyle w:val="Heading2"/>
        <w:spacing w:before="280" w:after="120"/>
      </w:pPr>
      <w:r>
        <w:rPr>
          <w:rFonts w:ascii="Arial" w:cs="Arial" w:eastAsia="Arial" w:hAnsi="Arial"/>
          <w:b/>
          <w:bCs/>
          <w:color w:val="6B3A1A"/>
          <w:sz w:val="28"/>
          <w:szCs w:val="28"/>
        </w:rPr>
        <w:t xml:space="preserve">§8.1   Zero-Point Energy</w:t>
      </w:r>
    </w:p>
    <w:p>
      <w:pPr>
        <w:spacing w:before="80" w:after="80"/>
        <w:ind/>
        <w:jc w:val="left"/>
      </w:pPr>
      <w:r>
        <w:rPr>
          <w:rFonts w:ascii="Arial" w:cs="Arial" w:eastAsia="Arial" w:hAnsi="Arial"/>
          <w:b w:val="false"/>
          <w:bCs w:val="false"/>
          <w:color w:val="000000"/>
          <w:sz w:val="22"/>
          <w:szCs w:val="22"/>
        </w:rPr>
        <w:t xml:space="preserve">The quantum mechanical ground state energy E₀ = ½hν carries the 1/2 factor. Under the substrate, this is the fulcrum. The vacuum is the 9⁹ field at rest — all sub-positions accumulating, no carry yet fired. The ground state energy is the fulcrum energy of the substrate at depth 1. The ½ in the quantum formula is not arbitrary. It is the depth-invariant ratio, expressed in the language of wave mechanics.</w:t>
      </w:r>
    </w:p>
    <w:p>
      <w:pPr>
        <w:pStyle w:val="Heading2"/>
        <w:spacing w:before="280" w:after="120"/>
      </w:pPr>
      <w:r>
        <w:rPr>
          <w:rFonts w:ascii="Arial" w:cs="Arial" w:eastAsia="Arial" w:hAnsi="Arial"/>
          <w:b/>
          <w:bCs/>
          <w:color w:val="6B3A1A"/>
          <w:sz w:val="28"/>
          <w:szCs w:val="28"/>
        </w:rPr>
        <w:t xml:space="preserve">§8.2   Observer Positioning  —  Diagonalization Origin</w:t>
      </w:r>
    </w:p>
    <w:p>
      <w:pPr>
        <w:spacing w:before="80" w:after="80"/>
        <w:ind/>
        <w:jc w:val="left"/>
      </w:pPr>
      <w:r>
        <w:rPr>
          <w:rFonts w:ascii="Arial" w:cs="Arial" w:eastAsia="Arial" w:hAnsi="Arial"/>
          <w:b w:val="false"/>
          <w:bCs w:val="false"/>
          <w:color w:val="000000"/>
          <w:sz w:val="22"/>
          <w:szCs w:val="22"/>
        </w:rPr>
        <w:t xml:space="preserve">The POV operator a.POV.b defaults to the midpoint between predecessor and successor. The observer sits at 1/2 by construction. At the fulcrum position the system is maximally symmetric: rec10 and rev10 are equidistant (0.5 each), neither channel dominates, and both eigenvectors are equally reachable.</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This is the diagonalization origin. From 4.5, the two principal channels separate:</w:t>
      </w:r>
    </w:p>
    <w:p>
      <w:pPr>
        <w:spacing w:before="60" w:after="0"/>
      </w:pPr>
      <w:r>
        <w:t xml:space="preserve"/>
      </w:r>
    </w:p>
    <w:p>
      <w:pPr>
        <w:spacing w:before="60" w:after="60"/>
        <w:ind w:left="560"/>
      </w:pPr>
      <w:r>
        <w:rPr>
          <w:rFonts w:ascii="Courier New" w:cs="Courier New" w:eastAsia="Courier New" w:hAnsi="Courier New"/>
          <w:b w:val="false"/>
          <w:bCs w:val="false"/>
          <w:color w:val="3A1A0A"/>
          <w:sz w:val="20"/>
          <w:szCs w:val="20"/>
        </w:rPr>
        <w:t xml:space="preserve">rec10 eigenvector:  4.5 − 0.5 = 4  =  Q(4)  (quaternion, forward, real axis)</w:t>
      </w:r>
    </w:p>
    <w:p>
      <w:pPr>
        <w:spacing w:before="60" w:after="60"/>
        <w:ind w:left="560"/>
      </w:pPr>
      <w:r>
        <w:rPr>
          <w:rFonts w:ascii="Courier New" w:cs="Courier New" w:eastAsia="Courier New" w:hAnsi="Courier New"/>
          <w:b w:val="false"/>
          <w:bCs w:val="false"/>
          <w:color w:val="3A1A0A"/>
          <w:sz w:val="20"/>
          <w:szCs w:val="20"/>
        </w:rPr>
        <w:t xml:space="preserve">rev10 eigenvector:  4.5 + 0.5 = 5  =  pentac  (angular, backward, imaginary axis)</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Positioning at the fulcrum means positioning at the origin of the diagonalized frame. The system's two principal channels are seen with equal weight. Neither is in the foreground. This is the structural basis for coupling analysis: to examine the interaction between rec10 and rev10, the fulcrum is the frame from which both are simultaneously accessible at equal distance.</w:t>
      </w:r>
    </w:p>
    <w:p>
      <w:pPr>
        <w:spacing w:before="60" w:after="0"/>
      </w:pPr>
      <w:r>
        <w:t xml:space="preserve"/>
      </w:r>
    </w:p>
    <w:p>
      <w:pPr>
        <w:pBdr>
          <w:top w:val="none" w:color="auto" w:sz="0"/>
          <w:bottom w:val="none" w:color="auto" w:sz="0"/>
          <w:left w:val="single" w:color="8B5A2A" w:sz="8"/>
          <w:right w:val="none" w:color="auto" w:sz="0"/>
        </w:pBdr>
        <w:spacing w:before="100" w:after="100"/>
        <w:ind w:left="560"/>
      </w:pPr>
      <w:r>
        <w:rPr>
          <w:rFonts w:ascii="Arial" w:cs="Arial" w:eastAsia="Arial" w:hAnsi="Arial"/>
          <w:color w:val="444444"/>
          <w:sz w:val="20"/>
          <w:szCs w:val="20"/>
        </w:rPr>
        <w:t xml:space="preserve">Full diagonalization formalism — the explicit matrix, eigenvectors, and eigenvalue decomposition — is a queue item. The origin and the separation distances are established here. The frame is set.</w:t>
      </w:r>
    </w:p>
    <w:p>
      <w:pPr>
        <w:pStyle w:val="Heading1"/>
        <w:pBdr>
          <w:bottom w:val="single" w:color="3A1A0A" w:sz="6"/>
        </w:pBdr>
        <w:spacing w:before="360" w:after="160"/>
      </w:pPr>
      <w:r>
        <w:rPr>
          <w:rFonts w:ascii="Arial" w:cs="Arial" w:eastAsia="Arial" w:hAnsi="Arial"/>
          <w:b/>
          <w:bCs/>
          <w:color w:val="3A1A0A"/>
          <w:sz w:val="36"/>
          <w:szCs w:val="36"/>
        </w:rPr>
        <w:t xml:space="preserve">§9   Algebraic Closure  —  The Far Field</w:t>
      </w:r>
    </w:p>
    <w:p>
      <w:pPr>
        <w:pStyle w:val="Heading2"/>
        <w:spacing w:before="280" w:after="120"/>
      </w:pPr>
      <w:r>
        <w:rPr>
          <w:rFonts w:ascii="Arial" w:cs="Arial" w:eastAsia="Arial" w:hAnsi="Arial"/>
          <w:b/>
          <w:bCs/>
          <w:color w:val="6B3A1A"/>
          <w:sz w:val="28"/>
          <w:szCs w:val="28"/>
        </w:rPr>
        <w:t xml:space="preserve">§9.1   Factor Preservation</w:t>
      </w:r>
    </w:p>
    <w:p>
      <w:pPr>
        <w:spacing w:before="80" w:after="80"/>
        <w:ind/>
        <w:jc w:val="left"/>
      </w:pPr>
      <w:r>
        <w:rPr>
          <w:rFonts w:ascii="Arial" w:cs="Arial" w:eastAsia="Arial" w:hAnsi="Arial"/>
          <w:b w:val="false"/>
          <w:bCs w:val="false"/>
          <w:color w:val="000000"/>
          <w:sz w:val="22"/>
          <w:szCs w:val="22"/>
        </w:rPr>
        <w:t xml:space="preserve">The fulcrum operation is factor-preserving. For any odd input, all prime factors of the numerator survive the dive intact. Only the denominator changes:</w:t>
      </w:r>
    </w:p>
    <w:p>
      <w:pPr>
        <w:spacing w:before="60" w:after="0"/>
      </w:pPr>
      <w:r>
        <w:t xml:space="preserve"/>
      </w:r>
    </w:p>
    <w:p>
      <w:pPr>
        <w:spacing w:before="60" w:after="60"/>
        <w:ind w:left="560"/>
      </w:pPr>
      <w:r>
        <w:rPr>
          <w:rFonts w:ascii="Courier New" w:cs="Courier New" w:eastAsia="Courier New" w:hAnsi="Courier New"/>
          <w:b w:val="false"/>
          <w:bCs w:val="false"/>
          <w:color w:val="3A1A0A"/>
          <w:sz w:val="20"/>
          <w:szCs w:val="20"/>
        </w:rPr>
        <w:t xml:space="preserve">Odd:  n = p₁×p₂×…×pₖ  →  n/2  =  (p₁×p₂×…×pₖ) / 2</w:t>
      </w:r>
    </w:p>
    <w:p>
      <w:pPr>
        <w:spacing w:before="60" w:after="60"/>
        <w:ind w:left="560"/>
      </w:pPr>
      <w:r>
        <w:rPr>
          <w:rFonts w:ascii="Courier New" w:cs="Courier New" w:eastAsia="Courier New" w:hAnsi="Courier New"/>
          <w:b w:val="false"/>
          <w:bCs w:val="false"/>
          <w:color w:val="3A1A0A"/>
          <w:sz w:val="20"/>
          <w:szCs w:val="20"/>
        </w:rPr>
        <w:t xml:space="preserve">Even: n = 2×m           →  m    =  one factor of 2 consumed, remainder intact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2400"/>
        <w:gridCol w:w="2760"/>
      </w:tblGrid>
      <w:tr>
        <w:trPr>
          <w:tblHeader/>
        </w:trPr>
        <w:tc>
          <w:tcPr>
            <w:tcW w:type="dxa" w:w="10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16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Factors</w:t>
            </w:r>
          </w:p>
        </w:tc>
        <w:tc>
          <w:tcPr>
            <w:tcW w:type="dxa" w:w="16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Landing</w:t>
            </w:r>
          </w:p>
        </w:tc>
        <w:tc>
          <w:tcPr>
            <w:tcW w:type="dxa" w:w="24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Factors preserved</w:t>
            </w:r>
          </w:p>
        </w:tc>
        <w:tc>
          <w:tcPr>
            <w:tcW w:type="dxa" w:w="276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Note</w:t>
            </w:r>
          </w:p>
        </w:tc>
      </w:tr>
      <w:tr>
        <w:tc>
          <w:tcPr>
            <w:tcW w:type="dxa" w:w="1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50</w:t>
            </w:r>
          </w:p>
        </w:tc>
        <w:tc>
          <w:tcPr>
            <w:tcW w:type="dxa" w:w="16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2 × 5²</w:t>
            </w:r>
          </w:p>
        </w:tc>
        <w:tc>
          <w:tcPr>
            <w:tcW w:type="dxa" w:w="16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25 = 5²</w:t>
            </w:r>
          </w:p>
        </w:tc>
        <w:tc>
          <w:tcPr>
            <w:tcW w:type="dxa" w:w="24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5² intact</w:t>
            </w:r>
          </w:p>
        </w:tc>
        <w:tc>
          <w:tcPr>
            <w:tcW w:type="dxa" w:w="27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Even: binary stripped, pentac-squared lands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 × 5 × 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277.5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 5, 37 all intact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Odd: ternary, pentac, 37 all survive</w:t>
            </w:r>
          </w:p>
        </w:tc>
      </w:tr>
    </w:tbl>
    <w:p>
      <w:pPr>
        <w:pStyle w:val="Heading2"/>
        <w:spacing w:before="280" w:after="120"/>
      </w:pPr>
      <w:r>
        <w:rPr>
          <w:rFonts w:ascii="Arial" w:cs="Arial" w:eastAsia="Arial" w:hAnsi="Arial"/>
          <w:b/>
          <w:bCs/>
          <w:color w:val="6B3A1A"/>
          <w:sz w:val="28"/>
          <w:szCs w:val="28"/>
        </w:rPr>
        <w:t xml:space="preserve">§9.2   37  —  The Staircase Prime</w:t>
      </w:r>
    </w:p>
    <w:p>
      <w:pPr>
        <w:spacing w:before="80" w:after="80"/>
        <w:ind/>
        <w:jc w:val="left"/>
      </w:pPr>
      <w:r>
        <w:rPr>
          <w:rFonts w:ascii="Arial" w:cs="Arial" w:eastAsia="Arial" w:hAnsi="Arial"/>
          <w:b w:val="false"/>
          <w:bCs w:val="false"/>
          <w:color w:val="000000"/>
          <w:sz w:val="22"/>
          <w:szCs w:val="22"/>
        </w:rPr>
        <w:t xml:space="preserve">37 appears at the heart of the upper register staircase (sum = 37.5 = 37 + 0.5) and at all four pentac arc boundaries in the orbit:</w:t>
      </w:r>
    </w:p>
    <w:p>
      <w:pPr>
        <w:spacing w:before="60" w:after="0"/>
      </w:pPr>
      <w:r>
        <w:t xml:space="preserve"/>
      </w:r>
    </w:p>
    <w:p>
      <w:pPr>
        <w:spacing w:before="60" w:after="60"/>
        <w:ind w:left="560"/>
      </w:pPr>
      <w:r>
        <w:rPr>
          <w:rFonts w:ascii="Courier New" w:cs="Courier New" w:eastAsia="Courier New" w:hAnsi="Courier New"/>
          <w:b w:val="false"/>
          <w:bCs w:val="false"/>
          <w:color w:val="3A1A0A"/>
          <w:sz w:val="20"/>
          <w:szCs w:val="20"/>
        </w:rPr>
        <w:t xml:space="preserve">rev10(8778)  = 26640 = 2⁴×3²×5×37   (arc 1/5 boundary)</w:t>
      </w:r>
    </w:p>
    <w:p>
      <w:pPr>
        <w:spacing w:before="60" w:after="60"/>
        <w:ind w:left="560"/>
      </w:pPr>
      <w:r>
        <w:rPr>
          <w:rFonts w:ascii="Courier New" w:cs="Courier New" w:eastAsia="Courier New" w:hAnsi="Courier New"/>
          <w:b w:val="false"/>
          <w:bCs w:val="false"/>
          <w:color w:val="3A1A0A"/>
          <w:sz w:val="20"/>
          <w:szCs w:val="20"/>
        </w:rPr>
        <w:t xml:space="preserve">rev10(17556) = 16021 = 37×433          (arc 2/5 boundary)</w:t>
      </w:r>
    </w:p>
    <w:p>
      <w:pPr>
        <w:spacing w:before="60" w:after="60"/>
        <w:ind w:left="560"/>
      </w:pPr>
      <w:r>
        <w:rPr>
          <w:rFonts w:ascii="Courier New" w:cs="Courier New" w:eastAsia="Courier New" w:hAnsi="Courier New"/>
          <w:b w:val="false"/>
          <w:bCs w:val="false"/>
          <w:color w:val="3A1A0A"/>
          <w:sz w:val="20"/>
          <w:szCs w:val="20"/>
        </w:rPr>
        <w:t xml:space="preserve">rev10(26334) = 3356  = 2²×839         (arc 3/5, rec10 carries 37)</w:t>
      </w:r>
    </w:p>
    <w:p>
      <w:pPr>
        <w:spacing w:before="60" w:after="60"/>
        <w:ind w:left="560"/>
      </w:pPr>
      <w:r>
        <w:rPr>
          <w:rFonts w:ascii="Courier New" w:cs="Courier New" w:eastAsia="Courier New" w:hAnsi="Courier New"/>
          <w:b w:val="false"/>
          <w:bCs w:val="false"/>
          <w:color w:val="3A1A0A"/>
          <w:sz w:val="20"/>
          <w:szCs w:val="20"/>
        </w:rPr>
        <w:t xml:space="preserve">rev10(35112) = 41764 = 2²×53×197       (arc 4/5 boundary)</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37 is woven through the pentac arc structure of the orbit. When 555 = 3×5×37 dived, it brought the ternary base, the pentac, and the arc prime together in a single number. The far-field dive was not random. 555 = 15×37, where 15 is the upper register bridge constant (ternary×pentac) and 37 is the staircase prime. The see-saw itself built 555, and 555 returned to dive.</w:t>
      </w:r>
    </w:p>
    <w:p>
      <w:pPr>
        <w:pStyle w:val="Heading2"/>
        <w:spacing w:before="280" w:after="120"/>
      </w:pPr>
      <w:r>
        <w:rPr>
          <w:rFonts w:ascii="Arial" w:cs="Arial" w:eastAsia="Arial" w:hAnsi="Arial"/>
          <w:b/>
          <w:bCs/>
          <w:color w:val="6B3A1A"/>
          <w:sz w:val="28"/>
          <w:szCs w:val="28"/>
        </w:rPr>
        <w:t xml:space="preserve">§9.3   Closure Statement</w:t>
      </w:r>
    </w:p>
    <w:p>
      <w:pPr>
        <w:spacing w:before="80" w:after="80"/>
        <w:ind/>
        <w:jc w:val="left"/>
      </w:pPr>
      <w:r>
        <w:rPr>
          <w:rFonts w:ascii="Arial" w:cs="Arial" w:eastAsia="Arial" w:hAnsi="Arial"/>
          <w:b w:val="false"/>
          <w:bCs w:val="false"/>
          <w:color w:val="000000"/>
          <w:sz w:val="22"/>
          <w:szCs w:val="22"/>
        </w:rPr>
        <w:t xml:space="preserve">The fulcrum operation is algebraically closed over the system's structural vocabulary. Every dive, at any depth, at any distance from the pivot, produces a landing whose prime factors are already known to the system. No dive imports foreign structure. No landing requires external reference.</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This closure is not geometric — it does not close a boundary. It is extensible without limit: the see-saw arm can extend to any length and the landing remains interpretable by factoring. The system is self-sufficient at every scale. Closed without boundary. Extensible without bound.</w:t>
      </w:r>
    </w:p>
    <w:p>
      <w:pPr>
        <w:spacing w:before="60" w:after="0"/>
      </w:pPr>
      <w:r>
        <w:t xml:space="preserve"/>
      </w:r>
    </w:p>
    <w:p>
      <w:pPr>
        <w:pBdr>
          <w:top w:val="none" w:color="auto" w:sz="0"/>
          <w:bottom w:val="none" w:color="auto" w:sz="0"/>
          <w:left w:val="single" w:color="8B5A2A" w:sz="8"/>
          <w:right w:val="none" w:color="auto" w:sz="0"/>
        </w:pBdr>
        <w:spacing w:before="100" w:after="100"/>
        <w:ind w:left="560"/>
      </w:pPr>
      <w:r>
        <w:rPr>
          <w:rFonts w:ascii="Arial" w:cs="Arial" w:eastAsia="Arial" w:hAnsi="Arial"/>
          <w:color w:val="444444"/>
          <w:sz w:val="20"/>
          <w:szCs w:val="20"/>
        </w:rPr>
        <w:t xml:space="preserve">555 found 37 and brought it to the dive. The see-saw built 555. 555 came back. This is what algebraic closure looks like when it is also extensible: every new expression is already in the language. The alphabet does not change. The sentences are new. The words were always there.</w:t>
      </w:r>
    </w:p>
    <w:p>
      <w:pPr>
        <w:pStyle w:val="Heading1"/>
        <w:pBdr>
          <w:bottom w:val="single" w:color="3A1A0A" w:sz="6"/>
        </w:pBdr>
        <w:spacing w:before="360" w:after="160"/>
      </w:pPr>
      <w:r>
        <w:rPr>
          <w:rFonts w:ascii="Arial" w:cs="Arial" w:eastAsia="Arial" w:hAnsi="Arial"/>
          <w:b/>
          <w:bCs/>
          <w:color w:val="3A1A0A"/>
          <w:sz w:val="36"/>
          <w:szCs w:val="36"/>
        </w:rPr>
        <w:t xml:space="preserve">§10   Capabilities  —  Master Table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800"/>
        <w:gridCol w:w="4060"/>
      </w:tblGrid>
      <w:tr>
        <w:trPr>
          <w:tblHeader/>
        </w:trPr>
        <w:tc>
          <w:tcPr>
            <w:tcW w:type="dxa" w:w="5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2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Capability</w:t>
            </w:r>
          </w:p>
        </w:tc>
        <w:tc>
          <w:tcPr>
            <w:tcW w:type="dxa" w:w="28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Expression</w:t>
            </w:r>
          </w:p>
        </w:tc>
        <w:tc>
          <w:tcPr>
            <w:tcW w:type="dxa" w:w="406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Output</w:t>
            </w:r>
          </w:p>
        </w:tc>
      </w:tr>
      <w:tr>
        <w:tc>
          <w:tcPr>
            <w:tcW w:type="dxa" w:w="5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Center finding</w:t>
            </w:r>
          </w:p>
        </w:tc>
        <w:tc>
          <w:tcPr>
            <w:tcW w:type="dxa" w:w="2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n odd → n/2</w:t>
            </w:r>
          </w:p>
        </w:tc>
        <w:tc>
          <w:tcPr>
            <w:tcW w:type="dxa" w:w="40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Half-integer. Forced. No parameters.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Depth invariance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fulcrum(d)/9ᵈ = 1/2</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Holds at every dec10 depth. Always.</w:t>
            </w:r>
          </w:p>
        </w:tc>
      </w:tr>
      <w:tr>
        <w:tc>
          <w:tcPr>
            <w:tcW w:type="dxa" w:w="5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Observer positioning</w:t>
            </w:r>
          </w:p>
        </w:tc>
        <w:tc>
          <w:tcPr>
            <w:tcW w:type="dxa" w:w="2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a.POV.b midpoint</w:t>
            </w:r>
          </w:p>
        </w:tc>
        <w:tc>
          <w:tcPr>
            <w:tcW w:type="dxa" w:w="40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Equidistance from both channels.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Coupling identity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(Q(4)+pentac(5))/2 = 4.5</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Exact midpoint of rec10 and rev10.</w:t>
            </w:r>
          </w:p>
        </w:tc>
      </w:tr>
      <w:tr>
        <w:tc>
          <w:tcPr>
            <w:tcW w:type="dxa" w:w="5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Fixed point</w:t>
            </w:r>
          </w:p>
        </w:tc>
        <w:tc>
          <w:tcPr>
            <w:tcW w:type="dxa" w:w="2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s → 1−s has fixed point 1/2</w:t>
            </w:r>
          </w:p>
        </w:tc>
        <w:tc>
          <w:tcPr>
            <w:tcW w:type="dxa" w:w="40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Butterfly transformation center.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Ground 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E₀ = ½hν</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Substrate at rest. Vacuum energy.</w:t>
            </w:r>
          </w:p>
        </w:tc>
      </w:tr>
      <w:tr>
        <w:tc>
          <w:tcPr>
            <w:tcW w:type="dxa" w:w="5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Dive operator</w:t>
            </w:r>
          </w:p>
        </w:tc>
        <w:tc>
          <w:tcPr>
            <w:tcW w:type="dxa" w:w="2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9,7,5,3,1 → 4.5,3.5,2.5,1.5,0.5</w:t>
            </w:r>
          </w:p>
        </w:tc>
        <w:tc>
          <w:tcPr>
            <w:tcW w:type="dxa" w:w="40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Five structural midpoints. Sum=12.5.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Lotus scalar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4.5 × 24 = 108</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Fulcrum at Leech-binary scale = lotus.</w:t>
            </w:r>
          </w:p>
        </w:tc>
      </w:tr>
      <w:tr>
        <w:tc>
          <w:tcPr>
            <w:tcW w:type="dxa" w:w="5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Seam anchor</w:t>
            </w:r>
          </w:p>
        </w:tc>
        <w:tc>
          <w:tcPr>
            <w:tcW w:type="dxa" w:w="2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11/12 → 1 collapses</w:t>
            </w:r>
          </w:p>
        </w:tc>
        <w:tc>
          <w:tcPr>
            <w:tcW w:type="dxa" w:w="40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Ring (6/6.5) is sealed against. Generator is the seal.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Diagonalization origin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4.5 as frame center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rec10 −0.5, rev10 +0.5. Equal separation.</w:t>
            </w:r>
          </w:p>
        </w:tc>
      </w:tr>
      <w:tr>
        <w:tc>
          <w:tcPr>
            <w:tcW w:type="dxa" w:w="5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11</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Factor preservation</w:t>
            </w:r>
          </w:p>
        </w:tc>
        <w:tc>
          <w:tcPr>
            <w:tcW w:type="dxa" w:w="2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Odd n/2: all factors survive</w:t>
            </w:r>
          </w:p>
        </w:tc>
        <w:tc>
          <w:tcPr>
            <w:tcW w:type="dxa" w:w="40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Algebraic closure. Far-field legibility.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Buoy placement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3/64 (lower), 19→9.5 (upper)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See-saw arm termination markers.</w:t>
            </w:r>
          </w:p>
        </w:tc>
      </w:tr>
    </w:tbl>
    <w:p>
      <w:pPr>
        <w:pStyle w:val="Heading1"/>
        <w:pBdr>
          <w:bottom w:val="single" w:color="3A1A0A" w:sz="6"/>
        </w:pBdr>
        <w:spacing w:before="360" w:after="160"/>
      </w:pPr>
      <w:r>
        <w:rPr>
          <w:rFonts w:ascii="Arial" w:cs="Arial" w:eastAsia="Arial" w:hAnsi="Arial"/>
          <w:b/>
          <w:bCs/>
          <w:color w:val="3A1A0A"/>
          <w:sz w:val="36"/>
          <w:szCs w:val="36"/>
        </w:rPr>
        <w:t xml:space="preserve">§11   Structural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Constant</w:t>
            </w:r>
          </w:p>
        </w:tc>
        <w:tc>
          <w:tcPr>
            <w:tcW w:type="dxa" w:w="20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22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Identity</w:t>
            </w:r>
          </w:p>
        </w:tc>
        <w:tc>
          <w:tcPr>
            <w:tcW w:type="dxa" w:w="336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4.5</w:t>
            </w:r>
          </w:p>
        </w:tc>
        <w:tc>
          <w:tcPr>
            <w:tcW w:type="dxa" w:w="2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9/2</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Core fulcrum</w:t>
            </w:r>
          </w:p>
        </w:tc>
        <w:tc>
          <w:tcPr>
            <w:tcW w:type="dxa" w:w="33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Dec10 ceiling finding its center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Depth-invariant ratio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Fulcrum residue. Re(s)=1/2. Observer coordinate.</w:t>
            </w:r>
          </w:p>
        </w:tc>
      </w:tr>
      <w:tr>
        <w:tc>
          <w:tcPr>
            <w:tcW w:type="dxa" w:w="1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2/9</w:t>
            </w:r>
          </w:p>
        </w:tc>
        <w:tc>
          <w:tcPr>
            <w:tcW w:type="dxa" w:w="2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inverse fulcrum</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Binary / ternary²</w:t>
            </w:r>
          </w:p>
        </w:tc>
        <w:tc>
          <w:tcPr>
            <w:tcW w:type="dxa" w:w="33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Reciprocal of the fulcrum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25/2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Sum of 5 named dives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QT(12) + irreducible half</w:t>
            </w:r>
          </w:p>
        </w:tc>
      </w:tr>
      <w:tr>
        <w:tc>
          <w:tcPr>
            <w:tcW w:type="dxa" w:w="1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37.5</w:t>
            </w:r>
          </w:p>
        </w:tc>
        <w:tc>
          <w:tcPr>
            <w:tcW w:type="dxa" w:w="2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75/2 = 3×5²/2</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Sum of upper staircase</w:t>
            </w:r>
          </w:p>
        </w:tc>
        <w:tc>
          <w:tcPr>
            <w:tcW w:type="dxa" w:w="33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5 upper register landings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Staircase prime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Core of upper staircase sum. Present at all 4 pentac arc boundaries.</w:t>
            </w:r>
          </w:p>
        </w:tc>
      </w:tr>
      <w:tr>
        <w:tc>
          <w:tcPr>
            <w:tcW w:type="dxa" w:w="1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3/64</w:t>
            </w:r>
          </w:p>
        </w:tc>
        <w:tc>
          <w:tcPr>
            <w:tcW w:type="dxa" w:w="2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0.046875</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Lower buoy</w:t>
            </w:r>
          </w:p>
        </w:tc>
        <w:tc>
          <w:tcPr>
            <w:tcW w:type="dxa" w:w="33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Final landing of 9 dec10 placeholder dives. Points at 1/α.</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277.5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555/2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Far-field landing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3×5×37 preserved. 29× past upper buoy.</w:t>
            </w:r>
          </w:p>
        </w:tc>
      </w:tr>
      <w:tr>
        <w:tc>
          <w:tcPr>
            <w:tcW w:type="dxa" w:w="1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108</w:t>
            </w:r>
          </w:p>
        </w:tc>
        <w:tc>
          <w:tcPr>
            <w:tcW w:type="dxa" w:w="2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4.5×24</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Lotus scalar</w:t>
            </w:r>
          </w:p>
        </w:tc>
        <w:tc>
          <w:tcPr>
            <w:tcW w:type="dxa" w:w="33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Fulcrum at Leech-binary scale.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QT(12)×D(2)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Lotus scale factor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12×2. Leech shadow × binary.</w:t>
            </w:r>
          </w:p>
        </w:tc>
      </w:tr>
      <w:tr>
        <w:tc>
          <w:tcPr>
            <w:tcW w:type="dxa" w:w="1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TD(6)</w:t>
            </w:r>
          </w:p>
        </w:tc>
        <w:tc>
          <w:tcPr>
            <w:tcW w:type="dxa" w:w="22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Seam midpoint (11→1)</w:t>
            </w:r>
          </w:p>
        </w:tc>
        <w:tc>
          <w:tcPr>
            <w:tcW w:type="dxa" w:w="33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Ring. What the seam is sealed against.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TD(6)+0.5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Seam midpoint (12→1)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Ring + fulcrum residue. Same as 13→6.5.</w:t>
            </w:r>
          </w:p>
        </w:tc>
      </w:tr>
    </w:tbl>
    <w:p>
      <w:pPr>
        <w:pStyle w:val="Heading1"/>
        <w:pBdr>
          <w:bottom w:val="single" w:color="3A1A0A" w:sz="6"/>
        </w:pBdr>
        <w:spacing w:before="360" w:after="160"/>
      </w:pPr>
      <w:r>
        <w:rPr>
          <w:rFonts w:ascii="Arial" w:cs="Arial" w:eastAsia="Arial" w:hAnsi="Arial"/>
          <w:b/>
          <w:bCs/>
          <w:color w:val="3A1A0A"/>
          <w:sz w:val="36"/>
          <w:szCs w:val="36"/>
        </w:rPr>
        <w:t xml:space="preserve">§12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480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760"/>
            <w:tcBorders>
              <w:top w:val="single" w:color="3A1A0A" w:sz="4"/>
              <w:left w:val="single" w:color="3A1A0A" w:sz="4"/>
              <w:bottom w:val="single" w:color="3A1A0A" w:sz="4"/>
              <w:right w:val="single" w:color="3A1A0A" w:sz="4"/>
            </w:tcBorders>
            <w:shd w:fill="3A1A0A"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Diagonalization formalism</w:t>
            </w:r>
          </w:p>
        </w:tc>
        <w:tc>
          <w:tcPr>
            <w:tcW w:type="dxa" w:w="4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Full matrix, eigenvectors, and eigenvalue decomposition from the fulcrum origin. The frame center is established. The explicit decomposition is not yet written.</w:t>
            </w:r>
          </w:p>
        </w:tc>
        <w:tc>
          <w:tcPr>
            <w:tcW w:type="dxa" w:w="27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Queue item.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RH formal proof</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Re(s)=1/2 as depth-invariant fulcrum is structurally closed. Formal mathematical proof of RH from this foundation.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Physics queue item.</w:t>
            </w:r>
          </w:p>
        </w:tc>
      </w:tr>
      <w:tr>
        <w:tc>
          <w:tcPr>
            <w:tcW w:type="dxa" w:w="1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277 identity</w:t>
            </w:r>
          </w:p>
        </w:tc>
        <w:tc>
          <w:tcPr>
            <w:tcW w:type="dxa" w:w="4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277 is prime. rev10(277) = 34273 (prime). Structural identity of 277 in the orbit not established.</w:t>
            </w:r>
          </w:p>
        </w:tc>
        <w:tc>
          <w:tcPr>
            <w:tcW w:type="dxa" w:w="27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Far-field coupling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Whether specific far-field dives (beyond the buoys) have coupling relationships to orbit values at the same scale.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Open.</w:t>
            </w:r>
          </w:p>
        </w:tc>
      </w:tr>
      <w:tr>
        <w:tc>
          <w:tcPr>
            <w:tcW w:type="dxa" w:w="1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Sub-position algebra</w:t>
            </w:r>
          </w:p>
        </w:tc>
        <w:tc>
          <w:tcPr>
            <w:tcW w:type="dxa" w:w="48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The internal structure of the 9⁹ sub-positions as a group or ring under fulcrum operations at each depth.</w:t>
            </w:r>
          </w:p>
        </w:tc>
        <w:tc>
          <w:tcPr>
            <w:tcW w:type="dxa" w:w="276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r>
              <w:rPr>
                <w:rFonts w:ascii="Arial" w:cs="Arial" w:eastAsia="Arial" w:hAnsi="Arial"/>
                <w:color w:val="000000"/>
                <w:sz w:val="20"/>
                <w:szCs w:val="20"/>
              </w:rPr>
              <w:t xml:space="preserve">Open.</w:t>
            </w:r>
          </w:p>
        </w:tc>
      </w:tr>
    </w:tbl>
    <w:p>
      <w:pPr>
        <w:spacing w:before="200" w:after="0"/>
      </w:pPr>
      <w:r>
        <w:t xml:space="preserve"/>
      </w:r>
    </w:p>
    <w:p>
      <w:pPr>
        <w:pBdr>
          <w:bottom w:val="single" w:color="CCCCCC" w:sz="2"/>
        </w:pBdr>
        <w:spacing w:before="160" w:after="160"/>
      </w:pPr>
      <w:r>
        <w:rPr>
          <w:sz w:val="4"/>
          <w:szCs w:val="4"/>
        </w:rPr>
        <w:t xml:space="preserve"/>
      </w:r>
    </w:p>
    <w:p>
      <w:pPr>
        <w:spacing w:before="80" w:after="0"/>
        <w:ind/>
        <w:jc w:val="center"/>
      </w:pPr>
      <w:r>
        <w:rPr>
          <w:rFonts w:ascii="Arial" w:cs="Arial" w:eastAsia="Arial" w:hAnsi="Arial"/>
          <w:b w:val="false"/>
          <w:bCs w:val="false"/>
          <w:color w:val="888888"/>
          <w:sz w:val="18"/>
          <w:szCs w:val="18"/>
        </w:rPr>
        <w:t xml:space="preserve">A1Thru9Z Co.  ·  Structural Determinism  ·  Fulcrum Canonical Specification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3A1A0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6B3A1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8B5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2026-03-22T16:38:51.484Z</dcterms:created>
  <dcterms:modified xsi:type="dcterms:W3CDTF">2026-03-22T16:38:51.484Z</dcterms:modified>
</cp:coreProperties>
</file>

<file path=docProps/custom.xml><?xml version="1.0" encoding="utf-8"?>
<Properties xmlns="http://schemas.openxmlformats.org/officeDocument/2006/custom-properties" xmlns:vt="http://schemas.openxmlformats.org/officeDocument/2006/docPropsVTypes"/>
</file>