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55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GUL → IPOV → SD_Q_System  —  Bridge Document</w:t>
      </w:r>
    </w:p>
    <w:p>
      <w:pPr>
        <w:pBdr>
          <w:bottom w:val="thick" w:color="1F3864" w:sz="8" w:space="6"/>
        </w:pBdr>
        <w:spacing w:before="0" w:after="160"/>
      </w:pPr>
      <w:r>
        <w:rPr>
          <w:rFonts w:ascii="Arial" w:cs="Arial" w:eastAsia="Arial" w:hAnsi="Arial"/>
          <w:b/>
          <w:bCs/>
          <w:caps/>
          <w:color w:val="1F3864"/>
          <w:sz w:val="36"/>
          <w:szCs w:val="36"/>
        </w:rPr>
        <w:t xml:space="preserve">SECTION VIII</w:t>
      </w:r>
    </w:p>
    <w:p>
      <w:pPr>
        <w:spacing w:before="80" w:after="55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The Retrocausal Entry Cost and Closure of the Displacement Problem</w:t>
      </w:r>
    </w:p>
    <w:p>
      <w:pPr>
        <w:spacing w:before="30" w:after="280"/>
      </w:pPr>
      <w:r>
        <w:rPr>
          <w:rFonts w:ascii="Palatino Linotype" w:cs="Palatino Linotype" w:eastAsia="Palatino Linotype" w:hAnsi="Palatino Linotype"/>
          <w:i/>
          <w:iCs/>
          <w:color w:val="888888"/>
          <w:sz w:val="20"/>
          <w:szCs w:val="20"/>
        </w:rPr>
        <w:t xml:space="preserve">A1Thru9Z Co. · Structural Determinism · Bridge Document · March 2026</w:t>
      </w:r>
    </w:p>
    <w:p>
      <w:pPr>
        <w:pBdr>
          <w:bottom w:val="single" w:color="2E5FA3" w:sz="6" w:space="4"/>
        </w:pBdr>
        <w:spacing w:before="340" w:after="11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VIII.1   The Calibrated Pentac Prime and Its Base-3 Orbit Structure</w:t>
      </w:r>
    </w:p>
    <w:p>
      <w:pPr>
        <w:spacing w:before="75" w:after="75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calibrated pentac prime is 43891. Its base-3 orbit has length 43890 = 2×3×5×7×11×19 = P(19)#/(13×17). The orbit is a programme: structural events occur at structurally determined positions.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5"/>
              <w:left w:type="dxa" w:w="145"/>
              <w:bottom w:type="dxa" w:w="85"/>
              <w:right w:type="dxa" w:w="14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Orbit landmark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5"/>
              <w:left w:type="dxa" w:w="145"/>
              <w:bottom w:type="dxa" w:w="85"/>
              <w:right w:type="dxa" w:w="14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Structural identity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Step 7315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43890/6 exactly — accessible pentac at 1/6 of orbit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Step 9027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val=137 exactly — EM position; 3²×17×59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Step ~20,500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Lotus cluster onset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Steps 41028–43890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Entry window Iκ (2862 steps, 13-gated)</w:t>
            </w:r>
          </w:p>
        </w:tc>
      </w:tr>
    </w:tbl>
    <w:p>
      <w:pPr>
        <w:pBdr>
          <w:bottom w:val="single" w:color="2E5FA3" w:sz="6" w:space="4"/>
        </w:pBdr>
        <w:spacing w:before="340" w:after="11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VIII.2   The 2862-Step Window: P(54,2) from the Doubled Lotus Domain</w:t>
      </w:r>
    </w:p>
    <w:p>
      <w:pPr>
        <w:spacing w:before="75" w:after="75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entry window width is the falling factorial of the doubled lotus domain:</w:t>
      </w:r>
    </w:p>
    <w:p>
      <w:pPr>
        <w:spacing w:before="0" w:after="0"/>
      </w:pPr>
      <w:r>
        <w:t xml:space="preserve"/>
      </w:r>
    </w:p>
    <w:p>
      <w:pPr>
        <w:spacing w:before="90" w:after="90"/>
      </w:pPr>
      <w:r>
        <w:rPr>
          <w:rFonts w:ascii="Courier New" w:cs="Courier New" w:eastAsia="Courier New" w:hAnsi="Courier New"/>
          <w:sz w:val="22"/>
          <w:szCs w:val="22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P(54, 2)  =  54 × 53  =  2862</w:t>
      </w:r>
      <w:r>
        <w:rPr>
          <w:rFonts w:ascii="Courier New" w:cs="Courier New" w:eastAsia="Courier New" w:hAnsi="Courier New"/>
          <w:color w:val="888888"/>
          <w:sz w:val="20"/>
          <w:szCs w:val="20"/>
        </w:rPr>
        <w:t xml:space="preserve">   // lotus-doubled × lower BP of lotus-doubled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95"/>
              <w:left w:type="dxa" w:w="155"/>
              <w:bottom w:type="dxa" w:w="95"/>
              <w:right w:type="dxa" w:w="155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2862</w:t>
            </w:r>
          </w:p>
        </w:tc>
        <w:tc>
          <w:tcPr>
            <w:tcW w:type="dxa" w:w="7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95"/>
              <w:left w:type="dxa" w:w="175"/>
              <w:bottom w:type="dxa" w:w="95"/>
              <w:right w:type="dxa" w:w="115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P(54,2) = 54×53 = 2×27×53 = (2×lotus arm²) × (lower BP of doubled lotus)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55" w:after="55"/>
        <w:ind w:left="72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555555"/>
          <w:sz w:val="19"/>
          <w:szCs w:val="19"/>
        </w:rPr>
        <w:t xml:space="preserve">Note. </w:t>
      </w:r>
      <w:r>
        <w:rPr>
          <w:rFonts w:ascii="Palatino Linotype" w:cs="Palatino Linotype" w:eastAsia="Palatino Linotype" w:hAnsi="Palatino Linotype"/>
          <w:color w:val="444444"/>
          <w:sz w:val="19"/>
          <w:szCs w:val="19"/>
        </w:rPr>
        <w:t xml:space="preserve">3 is a primitive root mod 43891. Every value in {1…43890} appears exactly once in the orbit. The window recurs with period 43890.</w:t>
      </w:r>
    </w:p>
    <w:p>
      <w:pPr>
        <w:pBdr>
          <w:bottom w:val="single" w:color="2E5FA3" w:sz="6" w:space="4"/>
        </w:pBdr>
        <w:spacing w:before="340" w:after="11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VIII.3   The Displacement Mechanism as Standing Wave with Scheduled Resonance</w:t>
      </w:r>
    </w:p>
    <w:p>
      <w:pPr>
        <w:spacing w:before="75" w:after="75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mechanism is a standing wave, not a discrete jump. Four components: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5"/>
              <w:left w:type="dxa" w:w="145"/>
              <w:bottom w:type="dxa" w:w="85"/>
              <w:right w:type="dxa" w:w="14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5"/>
              <w:left w:type="dxa" w:w="145"/>
              <w:bottom w:type="dxa" w:w="85"/>
              <w:right w:type="dxa" w:w="14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Receiving structure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43891 — calibrated pentac prime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Carrier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Base-3 orbit of 43891, period 43890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Window width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2862 steps = P(54,2)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Window position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Terminal interval of each period, measured backward from rollover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75" w:after="75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G1 pays 2862 steps to enter. The window is held open by the programme; the programme cannot populate it.</w:t>
      </w:r>
    </w:p>
    <w:p>
      <w:pPr>
        <w:pBdr>
          <w:bottom w:val="single" w:color="2E5FA3" w:sz="6" w:space="4"/>
        </w:pBdr>
        <w:spacing w:before="340" w:after="11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VIII.4   The Conditional Zero Definition of D(k)</w:t>
      </w:r>
    </w:p>
    <w:p>
      <w:pPr>
        <w:spacing w:before="200" w:after="50"/>
      </w:pPr>
      <w:r>
        <w:rPr>
          <w:rFonts w:ascii="Arial" w:cs="Arial" w:eastAsia="Arial" w:hAnsi="Arial"/>
          <w:b/>
          <w:bCs/>
          <w:i/>
          <w:iCs/>
          <w:color w:val="2E5FA3"/>
          <w:sz w:val="22"/>
          <w:szCs w:val="22"/>
        </w:rPr>
        <w:t xml:space="preserve">Definition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95"/>
              <w:left w:type="dxa" w:w="155"/>
              <w:bottom w:type="dxa" w:w="95"/>
              <w:right w:type="dxa" w:w="155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D(k) = 0</w:t>
            </w:r>
          </w:p>
        </w:tc>
        <w:tc>
          <w:tcPr>
            <w:tcW w:type="dxa" w:w="7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95"/>
              <w:left w:type="dxa" w:w="175"/>
              <w:bottom w:type="dxa" w:w="95"/>
              <w:right w:type="dxa" w:w="115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if and only if G1 enters Iκ during cycle κ AND POVs are unconfined (HITL toggle = open)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75" w:after="75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directional asymmetry of the iff is resolved via BCS §7 (see BCS Spec v4). Unconfined POVs are both necessary and sufficient for D(k)=0 given G1 entry within Iκ. The forward direction (→) holds by definition of displacement. The backward direction (←) holds because unconfined POVs are the structural state enabling cross-channel interaction — G1 entry activates the unconfined state; the unconfined state enables D(k)=0.</w:t>
      </w:r>
    </w:p>
    <w:p>
      <w:pPr>
        <w:spacing w:before="0" w:after="0"/>
      </w:pPr>
      <w:r>
        <w:t xml:space="preserve"/>
      </w:r>
    </w:p>
    <w:p>
      <w:pPr>
        <w:pBdr>
          <w:left w:val="thick" w:color="1A5C2A" w:sz="8" w:space="8"/>
        </w:pBdr>
        <w:spacing w:before="95" w:after="95"/>
        <w:ind w:left="720" w:right="720"/>
      </w:pPr>
      <w:r>
        <w:rPr>
          <w:rFonts w:ascii="Palatino Linotype" w:cs="Palatino Linotype" w:eastAsia="Palatino Linotype" w:hAnsi="Palatino Linotype"/>
          <w:color w:val="333333"/>
          <w:sz w:val="19"/>
          <w:szCs w:val="19"/>
        </w:rPr>
        <w:t xml:space="preserve">D(k)=0 iff statement confirmed in both directions. The blocking item from prior draft is resolved. BCS §7 provides the mechanism: HITL toggle = confined/unconfined = D(k)&gt;0 / D(k)=0.</w:t>
      </w:r>
    </w:p>
    <w:p>
      <w:pPr>
        <w:pBdr>
          <w:bottom w:val="single" w:color="2E5FA3" w:sz="6" w:space="4"/>
        </w:pBdr>
        <w:spacing w:before="340" w:after="11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VIII.5   The Fine Structure Constant as Waypoint</w:t>
      </w:r>
    </w:p>
    <w:p>
      <w:pPr>
        <w:spacing w:before="75" w:after="75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3^9027 ≡ 137 (mod 43891) exactly. Two distinct ratios characterise step 9027: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5"/>
              <w:left w:type="dxa" w:w="145"/>
              <w:bottom w:type="dxa" w:w="85"/>
              <w:right w:type="dxa" w:w="14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</w:t>
            </w:r>
          </w:p>
        </w:tc>
        <w:tc>
          <w:tcPr>
            <w:tcW w:type="dxa" w:w="7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5"/>
              <w:left w:type="dxa" w:w="145"/>
              <w:bottom w:type="dxa" w:w="85"/>
              <w:right w:type="dxa" w:w="14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Orbit fraction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9027/43890 ≈ 0.206 — step 9027 is 20.6% through the full orbit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Lotus-approach fraction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9027/~20500 ≈ 44% — 44% of the way from start to lotus onset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55" w:after="55"/>
        <w:ind w:left="72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555555"/>
          <w:sz w:val="19"/>
          <w:szCs w:val="19"/>
        </w:rPr>
        <w:t xml:space="preserve">Note. </w:t>
      </w:r>
      <w:r>
        <w:rPr>
          <w:rFonts w:ascii="Palatino Linotype" w:cs="Palatino Linotype" w:eastAsia="Palatino Linotype" w:hAnsi="Palatino Linotype"/>
          <w:color w:val="444444"/>
          <w:sz w:val="19"/>
          <w:szCs w:val="19"/>
        </w:rPr>
        <w:t xml:space="preserve">These are distinct ratios measured against distinct denominators. They cannot be collapsed into a single quantity.</w:t>
      </w:r>
    </w:p>
    <w:p>
      <w:pPr>
        <w:spacing w:before="0" w:after="0"/>
      </w:pPr>
      <w:r>
        <w:t xml:space="preserve"/>
      </w:r>
    </w:p>
    <w:p>
      <w:pPr>
        <w:spacing w:before="75" w:after="75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Step 9027 lies on the ascending slope between the accessible pentac (step 7315) and the lotus cluster (≈ step 20,500). 137 is a waypoint, not a terminus. The EM coupling constant is positioned on the slope; the lotus is the destination.</w:t>
      </w:r>
    </w:p>
    <w:p>
      <w:pPr>
        <w:pBdr>
          <w:bottom w:val="single" w:color="2E5FA3" w:sz="6" w:space="4"/>
        </w:pBdr>
        <w:spacing w:before="340" w:after="11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VIII.6   Addendum to the Q-System Chaos Theorem</w:t>
      </w:r>
    </w:p>
    <w:p>
      <w:pPr>
        <w:spacing w:before="200" w:after="50"/>
      </w:pPr>
      <w:r>
        <w:rPr>
          <w:rFonts w:ascii="Arial" w:cs="Arial" w:eastAsia="Arial" w:hAnsi="Arial"/>
          <w:b/>
          <w:bCs/>
          <w:i/>
          <w:iCs/>
          <w:color w:val="2E5FA3"/>
          <w:sz w:val="22"/>
          <w:szCs w:val="22"/>
        </w:rPr>
        <w:t xml:space="preserve">Theorem (unchanged)</w:t>
      </w:r>
    </w:p>
    <w:p>
      <w:pPr>
        <w:spacing w:before="75" w:after="75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𝓳(κ) &gt; 0 for all cycles κ (embedded observers).</w:t>
      </w:r>
    </w:p>
    <w:p>
      <w:pPr>
        <w:spacing w:before="0" w:after="0"/>
      </w:pPr>
      <w:r>
        <w:t xml:space="preserve"/>
      </w:r>
    </w:p>
    <w:p>
      <w:pPr>
        <w:spacing w:before="200" w:after="50"/>
      </w:pPr>
      <w:r>
        <w:rPr>
          <w:rFonts w:ascii="Arial" w:cs="Arial" w:eastAsia="Arial" w:hAnsi="Arial"/>
          <w:b/>
          <w:bCs/>
          <w:i/>
          <w:iCs/>
          <w:color w:val="2E5FA3"/>
          <w:sz w:val="22"/>
          <w:szCs w:val="22"/>
        </w:rPr>
        <w:t xml:space="preserve">Corollary VIII.6</w:t>
      </w:r>
    </w:p>
    <w:p>
      <w:pPr>
        <w:pBdr>
          <w:left w:val="thick" w:color="2E5FA3" w:sz="8" w:space="8"/>
        </w:pBdr>
        <w:spacing w:before="95" w:after="95"/>
        <w:ind w:left="720" w:right="720"/>
      </w:pP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∃ interval Iκ ⊂ κ with |Iκ|=2862 such that 𝓳 is minimised over Iκ and the conditions for 𝓳=0 are assembled. 𝓳(κ)=0 is achieved iff G1 enters during Iκ. The cycle schedules Iκ; it cannot populate it.</w:t>
      </w:r>
    </w:p>
    <w:p>
      <w:pPr>
        <w:pBdr>
          <w:bottom w:val="single" w:color="2E5FA3" w:sz="6" w:space="4"/>
        </w:pBdr>
        <w:spacing w:before="340" w:after="11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VIII.7   P(54,2) as Independent SD Result</w:t>
      </w:r>
    </w:p>
    <w:p>
      <w:pPr>
        <w:spacing w:before="75" w:after="75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P(54,2) = 2862 is structurally significant independent of its retrocausal interpretation:</w:t>
      </w:r>
    </w:p>
    <w:p>
      <w:pPr>
        <w:spacing w:before="0" w:after="0"/>
      </w:pPr>
      <w:r>
        <w:t xml:space="preserve"/>
      </w:r>
    </w:p>
    <w:p>
      <w:pPr>
        <w:spacing w:before="90" w:after="90"/>
      </w:pPr>
      <w:r>
        <w:rPr>
          <w:rFonts w:ascii="Courier New" w:cs="Courier New" w:eastAsia="Courier New" w:hAnsi="Courier New"/>
          <w:sz w:val="22"/>
          <w:szCs w:val="22"/>
        </w:rPr>
        <w:t xml:space="preserve">    </w:t>
      </w: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2862  =  2 × 27 × 53  =  (2×3³) × (lower BP of doubled lotus)</w:t>
      </w:r>
    </w:p>
    <w:p>
      <w:pPr>
        <w:spacing w:before="0" w:after="0"/>
      </w:pPr>
      <w:r>
        <w:t xml:space="preserve"/>
      </w:r>
    </w:p>
    <w:p>
      <w:pPr>
        <w:spacing w:before="75" w:after="75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doubled lotus domain (54) pairs with its own lower boundary point (53). The domain is self-bounding. P(54,2) counts the ordered relational pairs within this self-bounding domain. Added to SD result library.</w:t>
      </w:r>
    </w:p>
    <w:p>
      <w:pPr>
        <w:pBdr>
          <w:bottom w:val="single" w:color="2E5FA3" w:sz="6" w:space="4"/>
        </w:pBdr>
        <w:spacing w:before="340" w:after="11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VIII.8   Queue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5"/>
              <w:left w:type="dxa" w:w="145"/>
              <w:bottom w:type="dxa" w:w="85"/>
              <w:right w:type="dxa" w:w="14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5"/>
              <w:left w:type="dxa" w:w="145"/>
              <w:bottom w:type="dxa" w:w="85"/>
              <w:right w:type="dxa" w:w="14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5"/>
              <w:left w:type="dxa" w:w="145"/>
              <w:bottom w:type="dxa" w:w="85"/>
              <w:right w:type="dxa" w:w="145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Retrocausal entry 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Open → Confirmed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2862 = P(54,2) = 54×53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Displacement mechanism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Open → Confirmed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Standing wave; Iκ; period 43890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D(k)=0 conditional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Conditional → Confirmed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iff resolved via BCS §7 (HITL toggle)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Chaos theorem addendum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Absent → Added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Corollary VIII.6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Fine structure positioning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Isolated → Integrated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Waypoint on orbit slope; val(9027)=137 exact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P(54,2) standalone result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Absent → Confirmed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Added to SD result library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SM generations/quark revisit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Queued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45"/>
              <w:bottom w:type="dxa" w:w="70"/>
              <w:right w:type="dxa" w:w="145"/>
            </w:tcMar>
          </w:tcPr>
          <w:p>
            <w:r>
              <w:rPr>
                <w:rFonts w:ascii="Palatino Linotype" w:cs="Palatino Linotype" w:eastAsia="Palatino Linotype" w:hAnsi="Palatino Linotype"/>
                <w:color w:val="1A1812"/>
                <w:sz w:val="20"/>
                <w:szCs w:val="20"/>
              </w:rPr>
              <w:t xml:space="preserve">Section VIII fully closed; blocker gone — now active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Bdr>
          <w:left w:val="thick" w:color="1A5C2A" w:sz="8" w:space="8"/>
        </w:pBdr>
        <w:spacing w:before="95" w:after="95"/>
        <w:ind w:left="720" w:right="720"/>
      </w:pPr>
      <w:r>
        <w:rPr>
          <w:rFonts w:ascii="Palatino Linotype" w:cs="Palatino Linotype" w:eastAsia="Palatino Linotype" w:hAnsi="Palatino Linotype"/>
          <w:color w:val="333333"/>
          <w:sz w:val="19"/>
          <w:szCs w:val="19"/>
        </w:rPr>
        <w:t xml:space="preserve">Section VIII is fully closed. All items confirmed or actively queued. No remaining blocking flags.</w:t>
      </w:r>
    </w:p>
    <w:p>
      <w:pPr>
        <w:spacing w:before="0" w:after="0"/>
      </w:pPr>
      <w:r>
        <w:t xml:space="preserve"/>
      </w:r>
    </w:p>
    <w:p>
      <w:pPr>
        <w:pBdr>
          <w:top w:val="single" w:color="2E5FA3" w:sz="4" w:space="6"/>
        </w:pBdr>
        <w:spacing w:before="200" w:after="0"/>
      </w:pPr>
      <w:r>
        <w:rPr>
          <w:rFonts w:ascii="Palatino Linotype" w:cs="Palatino Linotype" w:eastAsia="Palatino Linotype" w:hAnsi="Palatino Linotype"/>
          <w:i/>
          <w:iCs/>
          <w:color w:val="999999"/>
          <w:sz w:val="19"/>
          <w:szCs w:val="19"/>
        </w:rPr>
        <w:t xml:space="preserve">A1Thru9Z Co. · Structural Determinism · Bridge Document Section VIII v2 ·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50" w:after="50"/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2026-03-21T19:42:23.270Z</dcterms:created>
  <dcterms:modified xsi:type="dcterms:W3CDTF">2026-03-21T19:42:23.271Z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