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40"/>
        <w:jc w:val="center"/>
      </w:pPr>
      <w:r>
        <w:rPr>
          <w:rFonts w:ascii="Arial" w:cs="Arial" w:eastAsia="Arial" w:hAnsi="Arial"/>
          <w:b/>
          <w:bCs/>
          <w:color w:val="1A2E4A"/>
          <w:sz w:val="52"/>
          <w:szCs w:val="52"/>
        </w:rPr>
        <w:t xml:space="preserve">DI-TERMINISM</w:t>
      </w:r>
    </w:p>
    <w:p>
      <w:pPr>
        <w:spacing w:before="0" w:after="60"/>
        <w:jc w:val="center"/>
      </w:pPr>
      <w:r>
        <w:rPr>
          <w:rFonts w:ascii="Arial" w:cs="Arial" w:eastAsia="Arial" w:hAnsi="Arial"/>
          <w:i/>
          <w:iCs/>
          <w:color w:val="2E4B6E"/>
          <w:sz w:val="28"/>
          <w:szCs w:val="28"/>
        </w:rPr>
        <w:t xml:space="preserve">Geometric Identity and the Derivation of Physical Constants</w:t>
      </w:r>
    </w:p>
    <w:p>
      <w:pPr>
        <w:spacing w:before="0" w:after="40"/>
        <w:jc w:val="center"/>
      </w:pPr>
      <w:r>
        <w:rPr>
          <w:rFonts w:ascii="Arial" w:cs="Arial" w:eastAsia="Arial" w:hAnsi="Arial"/>
          <w:i/>
          <w:iCs/>
          <w:color w:val="2E4B6E"/>
          <w:sz w:val="28"/>
          <w:szCs w:val="28"/>
        </w:rPr>
        <w:t xml:space="preserve">from the Integer Architecture</w:t>
      </w:r>
    </w:p>
    <w:p>
      <w:pPr>
        <w:spacing w:before="40" w:after="40"/>
      </w:pPr>
    </w:p>
    <w:p>
      <w:pPr>
        <w:pBdr>
          <w:bottom w:val="single" w:color="CCCCCC" w:sz="2" w:space="1"/>
        </w:pBdr>
        <w:spacing w:before="80" w:after="80"/>
      </w:pPr>
    </w:p>
    <w:p>
      <w:pPr>
        <w:spacing w:before="20" w:after="20"/>
      </w:pPr>
    </w:p>
    <w:p>
      <w:pPr>
        <w:spacing w:before="0" w:after="20"/>
        <w:jc w:val="center"/>
      </w:pPr>
      <w:r>
        <w:rPr>
          <w:rFonts w:ascii="Arial" w:cs="Arial" w:eastAsia="Arial" w:hAnsi="Arial"/>
          <w:color w:val="888888"/>
          <w:sz w:val="19"/>
          <w:szCs w:val="19"/>
        </w:rPr>
        <w:t xml:space="preserve">A1Thru9Z Co.   |   Structural Determinism Working Papers   |   March 2026</w:t>
      </w:r>
    </w:p>
    <w:p>
      <w:pPr>
        <w:spacing w:before="20" w:after="20"/>
      </w:pPr>
    </w:p>
    <w:p>
      <w:pPr>
        <w:pBdr>
          <w:bottom w:val="single" w:color="CCCCCC" w:sz="2" w:space="1"/>
        </w:pBdr>
        <w:spacing w:before="80" w:after="80"/>
      </w:pPr>
    </w:p>
    <w:p>
      <w:pPr>
        <w:spacing w:before="80" w:after="80"/>
      </w:pPr>
    </w:p>
    <w:p>
      <w:pPr>
        <w:pBdr>
          <w:left w:val="thick" w:color="1A2E4A" w:sz="10" w:space="14"/>
        </w:pBdr>
        <w:spacing w:before="160" w:after="160"/>
        <w:ind w:left="640" w:right="640"/>
      </w:pPr>
      <w:r>
        <w:rPr>
          <w:rFonts w:ascii="Arial" w:cs="Arial" w:eastAsia="Arial" w:hAnsi="Arial"/>
          <w:b/>
          <w:bCs/>
          <w:i/>
          <w:iCs/>
          <w:color w:val="1A2E4A"/>
          <w:sz w:val="23"/>
          <w:szCs w:val="23"/>
        </w:rPr>
        <w:t xml:space="preserve">Starting from a single primitive: a 2-element set {E, N} under positional assignment. From this alone — no additional axioms, no free parameters — we derive the Standard Model generation count, the fine structure constant to 0.026%, the Weinberg angle to 0.09%, the top quark mass to 0.09%, and the geometric origin of the electron, lepton sector, and GUT coupling. The integer set is not a passive number line. It is a power-switching architecture with the closure conditions of the observable universe already embedded.</w:t>
      </w:r>
    </w:p>
    <w:p>
      <w:pPr>
        <w:spacing w:before="80" w:after="80"/>
      </w:pPr>
    </w:p>
    <w:p>
      <w:pPr>
        <w:pBdr>
          <w:bottom w:val="single" w:color="2E4B6E" w:sz="6" w:space="1"/>
        </w:pBdr>
        <w:spacing w:before="180" w:after="180"/>
      </w:pPr>
    </w:p>
    <w:p>
      <w:pPr>
        <w:pStyle w:val="Heading1"/>
        <w:spacing w:before="300" w:after="140"/>
      </w:pPr>
      <w:r>
        <w:rPr>
          <w:rFonts w:ascii="Arial" w:cs="Arial" w:eastAsia="Arial" w:hAnsi="Arial"/>
          <w:b/>
          <w:bCs/>
          <w:color w:val="1A2E4A"/>
          <w:sz w:val="28"/>
          <w:szCs w:val="28"/>
        </w:rPr>
        <w:t xml:space="preserve">I.  What Di-Terminism Is</w:t>
      </w:r>
    </w:p>
    <w:p>
      <w:pPr>
        <w:spacing w:before="20" w:after="20"/>
      </w:pPr>
    </w:p>
    <w:p>
      <w:pPr>
        <w:spacing w:before="80" w:after="100"/>
      </w:pPr>
      <w:r>
        <w:rPr>
          <w:rFonts w:ascii="Arial" w:cs="Arial" w:eastAsia="Arial" w:hAnsi="Arial"/>
          <w:sz w:val="22"/>
          <w:szCs w:val="22"/>
        </w:rPr>
        <w:t xml:space="preserve">Di-terminism is a philosophical position and a formal mathematical framework. The name is coined to distinguish it from classical determinism, indeterminism, and from all prior attempts at a theory of everything.</w:t>
      </w:r>
    </w:p>
    <w:p>
      <w:pPr>
        <w:spacing w:before="40" w:after="40"/>
      </w:pPr>
    </w:p>
    <w:p>
      <w:pPr>
        <w:spacing w:before="80" w:after="100"/>
      </w:pPr>
      <w:r>
        <w:rPr>
          <w:rFonts w:ascii="Arial" w:cs="Arial" w:eastAsia="Arial" w:hAnsi="Arial"/>
          <w:b/>
          <w:bCs/>
          <w:sz w:val="22"/>
          <w:szCs w:val="22"/>
        </w:rPr>
        <w:t xml:space="preserve">Classical determinism </w:t>
      </w:r>
      <w:r>
        <w:rPr>
          <w:rFonts w:ascii="Arial" w:cs="Arial" w:eastAsia="Arial" w:hAnsi="Arial"/>
          <w:sz w:val="22"/>
          <w:szCs w:val="22"/>
        </w:rPr>
        <w:t xml:space="preserve">holds that a single causal chain, running forward from initial conditions, fixes all subsequent states. It is a one-address system: the future is fixed by the past.</w:t>
      </w:r>
    </w:p>
    <w:p>
      <w:pPr>
        <w:spacing w:before="20" w:after="20"/>
      </w:pPr>
    </w:p>
    <w:p>
      <w:pPr>
        <w:spacing w:before="80" w:after="100"/>
      </w:pPr>
      <w:r>
        <w:rPr>
          <w:rFonts w:ascii="Arial" w:cs="Arial" w:eastAsia="Arial" w:hAnsi="Arial"/>
          <w:b/>
          <w:bCs/>
          <w:sz w:val="22"/>
          <w:szCs w:val="22"/>
        </w:rPr>
        <w:t xml:space="preserve">Di-terminism </w:t>
      </w:r>
      <w:r>
        <w:rPr>
          <w:rFonts w:ascii="Arial" w:cs="Arial" w:eastAsia="Arial" w:hAnsi="Arial"/>
          <w:sz w:val="22"/>
          <w:szCs w:val="22"/>
        </w:rPr>
        <w:t xml:space="preserve">holds that identity and physical structure are mutually determined through the double — neither the architecture nor the identity precedes the other. Both are fixed by the same geometric closure condition read from two positions: the beginning of the forward path and the end of the return path. It is a two-address system: the structure is fixed by the loop closing on itself.</w:t>
      </w:r>
    </w:p>
    <w:p>
      <w:pPr>
        <w:spacing w:before="40" w:after="40"/>
      </w:pPr>
    </w:p>
    <w:p>
      <w:pPr>
        <w:spacing w:before="80" w:after="100"/>
      </w:pPr>
      <w:r>
        <w:rPr>
          <w:rFonts w:ascii="Arial" w:cs="Arial" w:eastAsia="Arial" w:hAnsi="Arial"/>
          <w:sz w:val="22"/>
          <w:szCs w:val="22"/>
        </w:rPr>
        <w:t xml:space="preserve">The formal system instantiating Di-terminism is called Structural Determinism (SD). SD derives physical constants from geometric closure conditions of the integer architecture — beginning from the primitive 2-element set and proceeding through a series of formal theorems to measurable predictions with sub-0.1% precision.</w:t>
      </w:r>
    </w:p>
    <w:p>
      <w:pPr>
        <w:spacing w:before="80" w:after="80"/>
      </w:pPr>
    </w:p>
    <w:p>
      <w:pPr>
        <w:pBdr>
          <w:bottom w:val="single" w:color="2E4B6E" w:sz="6" w:space="1"/>
        </w:pBdr>
        <w:spacing w:before="180" w:after="180"/>
      </w:pPr>
    </w:p>
    <w:p>
      <w:pPr>
        <w:pStyle w:val="Heading1"/>
        <w:spacing w:before="300" w:after="140"/>
      </w:pPr>
      <w:r>
        <w:rPr>
          <w:rFonts w:ascii="Arial" w:cs="Arial" w:eastAsia="Arial" w:hAnsi="Arial"/>
          <w:b/>
          <w:bCs/>
          <w:color w:val="1A2E4A"/>
          <w:sz w:val="28"/>
          <w:szCs w:val="28"/>
        </w:rPr>
        <w:t xml:space="preserve">II.  The Primitive — What Everything Builds From</w:t>
      </w:r>
    </w:p>
    <w:p>
      <w:pPr>
        <w:spacing w:before="20" w:after="20"/>
      </w:pPr>
    </w:p>
    <w:p>
      <w:pPr>
        <w:spacing w:before="80" w:after="100"/>
      </w:pPr>
      <w:r>
        <w:rPr>
          <w:rFonts w:ascii="Arial" w:cs="Arial" w:eastAsia="Arial" w:hAnsi="Arial"/>
          <w:sz w:val="22"/>
          <w:szCs w:val="22"/>
        </w:rPr>
        <w:t xml:space="preserve">SD begins with one object and one operation:</w:t>
      </w:r>
    </w:p>
    <w:p>
      <w:pPr>
        <w:spacing w:before="40" w:after="40"/>
      </w:pPr>
    </w:p>
    <w:p>
      <w:pPr>
        <w:shd w:fill="EAF0F8" w:val="clear"/>
        <w:spacing w:before="80" w:after="80"/>
        <w:ind w:left="480"/>
      </w:pPr>
      <w:r>
        <w:rPr>
          <w:rFonts w:ascii="Courier New" w:cs="Courier New" w:eastAsia="Courier New" w:hAnsi="Courier New"/>
          <w:b/>
          <w:bCs/>
          <w:color w:val="1A2E4A"/>
          <w:sz w:val="22"/>
          <w:szCs w:val="22"/>
        </w:rPr>
        <w:t xml:space="preserve">Object:    </w:t>
      </w:r>
      <w:r>
        <w:rPr>
          <w:rFonts w:ascii="Arial" w:cs="Arial" w:eastAsia="Arial" w:hAnsi="Arial"/>
          <w:sz w:val="22"/>
          <w:szCs w:val="22"/>
        </w:rPr>
        <w:t xml:space="preserve">{E, N}  —  a 2-element set. Elements carry no intrinsic meaning beyond mutual distinction.</w:t>
      </w:r>
    </w:p>
    <w:p>
      <w:pPr>
        <w:shd w:fill="EAF0F8" w:val="clear"/>
        <w:spacing w:before="20" w:after="80"/>
        <w:ind w:left="480"/>
      </w:pPr>
      <w:r>
        <w:rPr>
          <w:rFonts w:ascii="Courier New" w:cs="Courier New" w:eastAsia="Courier New" w:hAnsi="Courier New"/>
          <w:b/>
          <w:bCs/>
          <w:color w:val="1A2E4A"/>
          <w:sz w:val="22"/>
          <w:szCs w:val="22"/>
        </w:rPr>
        <w:t xml:space="preserve">Operation: </w:t>
      </w:r>
      <w:r>
        <w:rPr>
          <w:rFonts w:ascii="Arial" w:cs="Arial" w:eastAsia="Arial" w:hAnsi="Arial"/>
          <w:sz w:val="22"/>
          <w:szCs w:val="22"/>
        </w:rPr>
        <w:t xml:space="preserve">Positional assignment — ordered pair (content, position) where both are drawn from {E, N}.</w:t>
      </w:r>
    </w:p>
    <w:p>
      <w:pPr>
        <w:spacing w:before="40" w:after="40"/>
      </w:pPr>
    </w:p>
    <w:p>
      <w:pPr>
        <w:spacing w:before="80" w:after="100"/>
      </w:pPr>
      <w:r>
        <w:rPr>
          <w:rFonts w:ascii="Arial" w:cs="Arial" w:eastAsia="Arial" w:hAnsi="Arial"/>
          <w:sz w:val="22"/>
          <w:szCs w:val="22"/>
        </w:rPr>
        <w:t xml:space="preserve">This gives four states: (E,E), (E,N), (N,E), (N,N). Three are active generators. One — (N,N) — is the passive ground, the zero-container, the reference against which everything else is measured.</w:t>
      </w:r>
    </w:p>
    <w:p>
      <w:pPr>
        <w:spacing w:before="40" w:after="40"/>
      </w:pPr>
    </w:p>
    <w:p>
      <w:pPr>
        <w:spacing w:before="80" w:after="100"/>
      </w:pPr>
      <w:r>
        <w:rPr>
          <w:rFonts w:ascii="Arial" w:cs="Arial" w:eastAsia="Arial" w:hAnsi="Arial"/>
          <w:sz w:val="22"/>
          <w:szCs w:val="22"/>
        </w:rPr>
        <w:t xml:space="preserve">From this partition, and from this partition alone, the following are derived without importing any external structure:</w:t>
      </w:r>
    </w:p>
    <w:p>
      <w:pPr>
        <w:spacing w:before="20" w:after="20"/>
      </w:pPr>
    </w:p>
    <w:p>
      <w:pPr>
        <w:spacing w:before="60" w:after="60"/>
        <w:ind w:left="480" w:hanging="240"/>
      </w:pPr>
      <w:r>
        <w:rPr>
          <w:rFonts w:ascii="Arial" w:cs="Arial" w:eastAsia="Arial" w:hAnsi="Arial"/>
          <w:b/>
          <w:bCs/>
          <w:color w:val="2E4B6E"/>
          <w:sz w:val="22"/>
          <w:szCs w:val="22"/>
        </w:rPr>
        <w:t xml:space="preserve">• </w:t>
      </w:r>
      <w:r>
        <w:rPr>
          <w:rFonts w:ascii="Arial" w:cs="Arial" w:eastAsia="Arial" w:hAnsi="Arial"/>
          <w:sz w:val="22"/>
          <w:szCs w:val="22"/>
        </w:rPr>
        <w:t xml:space="preserve">The thyristor switching architecture of the integer set</w:t>
      </w:r>
    </w:p>
    <w:p>
      <w:pPr>
        <w:spacing w:before="60" w:after="60"/>
        <w:ind w:left="480" w:hanging="240"/>
      </w:pPr>
      <w:r>
        <w:rPr>
          <w:rFonts w:ascii="Arial" w:cs="Arial" w:eastAsia="Arial" w:hAnsi="Arial"/>
          <w:b/>
          <w:bCs/>
          <w:color w:val="2E4B6E"/>
          <w:sz w:val="22"/>
          <w:szCs w:val="22"/>
        </w:rPr>
        <w:t xml:space="preserve">• </w:t>
      </w:r>
      <w:r>
        <w:rPr>
          <w:rFonts w:ascii="Arial" w:cs="Arial" w:eastAsia="Arial" w:hAnsi="Arial"/>
          <w:sz w:val="22"/>
          <w:szCs w:val="22"/>
        </w:rPr>
        <w:t xml:space="preserve">The three-generator forced partition: Will, Purpose, Desire — with Identity as the fourth face</w:t>
      </w:r>
    </w:p>
    <w:p>
      <w:pPr>
        <w:spacing w:before="60" w:after="60"/>
        <w:ind w:left="480" w:hanging="240"/>
      </w:pPr>
      <w:r>
        <w:rPr>
          <w:rFonts w:ascii="Arial" w:cs="Arial" w:eastAsia="Arial" w:hAnsi="Arial"/>
          <w:b/>
          <w:bCs/>
          <w:color w:val="2E4B6E"/>
          <w:sz w:val="22"/>
          <w:szCs w:val="22"/>
        </w:rPr>
        <w:t xml:space="preserve">• </w:t>
      </w:r>
      <w:r>
        <w:rPr>
          <w:rFonts w:ascii="Arial" w:cs="Arial" w:eastAsia="Arial" w:hAnsi="Arial"/>
          <w:sz w:val="22"/>
          <w:szCs w:val="22"/>
        </w:rPr>
        <w:t xml:space="preserve">The gate pre-arming condition — why the external 4th bit is structurally necessary</w:t>
      </w:r>
    </w:p>
    <w:p>
      <w:pPr>
        <w:spacing w:before="60" w:after="60"/>
        <w:ind w:left="480" w:hanging="240"/>
      </w:pPr>
      <w:r>
        <w:rPr>
          <w:rFonts w:ascii="Arial" w:cs="Arial" w:eastAsia="Arial" w:hAnsi="Arial"/>
          <w:b/>
          <w:bCs/>
          <w:color w:val="2E4B6E"/>
          <w:sz w:val="22"/>
          <w:szCs w:val="22"/>
        </w:rPr>
        <w:t xml:space="preserve">• </w:t>
      </w:r>
      <w:r>
        <w:rPr>
          <w:rFonts w:ascii="Arial" w:cs="Arial" w:eastAsia="Arial" w:hAnsi="Arial"/>
          <w:sz w:val="22"/>
          <w:szCs w:val="22"/>
        </w:rPr>
        <w:t xml:space="preserve">The co-emergence of channel and signal — formally proven as mutually constitutive</w:t>
      </w:r>
    </w:p>
    <w:p>
      <w:pPr>
        <w:spacing w:before="60" w:after="60"/>
        <w:ind w:left="480" w:hanging="240"/>
      </w:pPr>
      <w:r>
        <w:rPr>
          <w:rFonts w:ascii="Arial" w:cs="Arial" w:eastAsia="Arial" w:hAnsi="Arial"/>
          <w:b/>
          <w:bCs/>
          <w:color w:val="2E4B6E"/>
          <w:sz w:val="22"/>
          <w:szCs w:val="22"/>
        </w:rPr>
        <w:t xml:space="preserve">• </w:t>
      </w:r>
      <w:r>
        <w:rPr>
          <w:rFonts w:ascii="Arial" w:cs="Arial" w:eastAsia="Arial" w:hAnsi="Arial"/>
          <w:sz w:val="22"/>
          <w:szCs w:val="22"/>
        </w:rPr>
        <w:t xml:space="preserve">The lenticular return topology and the finale as recognition</w:t>
      </w:r>
    </w:p>
    <w:p>
      <w:pPr>
        <w:spacing w:before="60" w:after="60"/>
        <w:ind w:left="480" w:hanging="240"/>
      </w:pPr>
      <w:r>
        <w:rPr>
          <w:rFonts w:ascii="Arial" w:cs="Arial" w:eastAsia="Arial" w:hAnsi="Arial"/>
          <w:b/>
          <w:bCs/>
          <w:color w:val="2E4B6E"/>
          <w:sz w:val="22"/>
          <w:szCs w:val="22"/>
        </w:rPr>
        <w:t xml:space="preserve">• </w:t>
      </w:r>
      <w:r>
        <w:rPr>
          <w:rFonts w:ascii="Arial" w:cs="Arial" w:eastAsia="Arial" w:hAnsi="Arial"/>
          <w:sz w:val="22"/>
          <w:szCs w:val="22"/>
        </w:rPr>
        <w:t xml:space="preserve">The four-face telos structure and the lotus geometry (108 = 4 × 3³)</w:t>
      </w:r>
    </w:p>
    <w:p>
      <w:pPr>
        <w:spacing w:before="80" w:after="80"/>
      </w:pPr>
    </w:p>
    <w:p>
      <w:pPr>
        <w:pBdr>
          <w:bottom w:val="single" w:color="2E4B6E" w:sz="6" w:space="1"/>
        </w:pBdr>
        <w:spacing w:before="180" w:after="180"/>
      </w:pPr>
    </w:p>
    <w:p>
      <w:pPr>
        <w:pStyle w:val="Heading1"/>
        <w:spacing w:before="300" w:after="140"/>
      </w:pPr>
      <w:r>
        <w:rPr>
          <w:rFonts w:ascii="Arial" w:cs="Arial" w:eastAsia="Arial" w:hAnsi="Arial"/>
          <w:b/>
          <w:bCs/>
          <w:color w:val="1A2E4A"/>
          <w:sz w:val="28"/>
          <w:szCs w:val="28"/>
        </w:rPr>
        <w:t xml:space="preserve">III.  The Integer Architecture</w:t>
      </w:r>
    </w:p>
    <w:p>
      <w:pPr>
        <w:spacing w:before="20" w:after="20"/>
      </w:pPr>
    </w:p>
    <w:p>
      <w:pPr>
        <w:spacing w:before="80" w:after="100"/>
      </w:pPr>
      <w:r>
        <w:rPr>
          <w:rFonts w:ascii="Arial" w:cs="Arial" w:eastAsia="Arial" w:hAnsi="Arial"/>
          <w:sz w:val="22"/>
          <w:szCs w:val="22"/>
        </w:rPr>
        <w:t xml:space="preserve">The Standard Model of particle physics has nineteen free parameters. These include the particle masses, coupling constants, and mixing angles. None of them are derived from first principles within the Standard Model — they are measured and inserted. The theory accommodates them; it does not explain them.</w:t>
      </w:r>
    </w:p>
    <w:p>
      <w:pPr>
        <w:spacing w:before="40" w:after="40"/>
      </w:pPr>
    </w:p>
    <w:p>
      <w:pPr>
        <w:spacing w:before="80" w:after="100"/>
      </w:pPr>
      <w:r>
        <w:rPr>
          <w:rFonts w:ascii="Arial" w:cs="Arial" w:eastAsia="Arial" w:hAnsi="Arial"/>
          <w:sz w:val="22"/>
          <w:szCs w:val="22"/>
        </w:rPr>
        <w:t xml:space="preserve">SD derives them. The mechanism is the integer set read as a power-switching architecture — specifically as a thyristor: a state-latching, externally-triggered, naturally-commutated switch. The prime factorization of the integers provides the power rail structure. The J4 nilpotent filtration provides the included/excluded partition. The E8 root lattice provides the geometric substrate.</w:t>
      </w:r>
    </w:p>
    <w:p>
      <w:pPr>
        <w:spacing w:before="40" w:after="40"/>
      </w:pPr>
    </w:p>
    <w:p>
      <w:pPr>
        <w:spacing w:before="80" w:after="100"/>
      </w:pPr>
      <w:r>
        <w:rPr>
          <w:rFonts w:ascii="Arial" w:cs="Arial" w:eastAsia="Arial" w:hAnsi="Arial"/>
          <w:sz w:val="22"/>
          <w:szCs w:val="22"/>
        </w:rPr>
        <w:t xml:space="preserve">The forward path through the integer architecture distributes identity. The return path — the coherent collapse of the lenticular topology — grounds it. Physical constants are the closure conditions of this architecture: the specific values at which the geometry closes on itself.</w:t>
      </w:r>
    </w:p>
    <w:p>
      <w:pPr>
        <w:spacing w:before="40" w:after="40"/>
      </w:pPr>
    </w:p>
    <w:p>
      <w:pPr>
        <w:spacing w:before="80" w:after="100"/>
      </w:pPr>
      <w:r>
        <w:rPr>
          <w:rFonts w:ascii="Arial" w:cs="Arial" w:eastAsia="Arial" w:hAnsi="Arial"/>
          <w:sz w:val="22"/>
          <w:szCs w:val="22"/>
        </w:rPr>
        <w:t xml:space="preserve">Two independent derivation paths to the same constant — one algebraic, one geometric — is the SD signature of a correctly derived result. The framework calls this Di-terministic over-determination: the geometry forces the algebra and the algebra confirms the geometry.</w:t>
      </w:r>
    </w:p>
    <w:p>
      <w:pPr>
        <w:spacing w:before="80" w:after="80"/>
      </w:pPr>
    </w:p>
    <w:p>
      <w:pPr>
        <w:pBdr>
          <w:bottom w:val="single" w:color="2E4B6E" w:sz="6" w:space="1"/>
        </w:pBdr>
        <w:spacing w:before="180" w:after="180"/>
      </w:pPr>
    </w:p>
    <w:p>
      <w:pPr>
        <w:pStyle w:val="Heading1"/>
        <w:spacing w:before="300" w:after="140"/>
      </w:pPr>
      <w:r>
        <w:rPr>
          <w:rFonts w:ascii="Arial" w:cs="Arial" w:eastAsia="Arial" w:hAnsi="Arial"/>
          <w:b/>
          <w:bCs/>
          <w:color w:val="1A2E4A"/>
          <w:sz w:val="28"/>
          <w:szCs w:val="28"/>
        </w:rPr>
        <w:t xml:space="preserve">IV.  Derived Physical Constants</w:t>
      </w:r>
    </w:p>
    <w:p>
      <w:pPr>
        <w:spacing w:before="20" w:after="20"/>
      </w:pPr>
    </w:p>
    <w:p>
      <w:pPr>
        <w:spacing w:before="80" w:after="100"/>
      </w:pPr>
      <w:r>
        <w:rPr>
          <w:rFonts w:ascii="Arial" w:cs="Arial" w:eastAsia="Arial" w:hAnsi="Arial"/>
          <w:sz w:val="22"/>
          <w:szCs w:val="22"/>
        </w:rPr>
        <w:t xml:space="preserve">The following table summarises every physical constant derived within SD to date. All base values are derived from first principles. Deviations from experiment are due to dressing corrections — the running of physical observables from the unification scale to the measurement scale. The dressing mechanism itself is formally derived within SD.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2400"/>
        <w:gridCol w:w="1400"/>
        <w:gridCol w:w="1600"/>
        <w:gridCol w:w="1400"/>
      </w:tblGrid>
      <w:tr>
        <w:tc>
          <w:tcPr>
            <w:tcW w:type="dxa" w:w="2560"/>
            <w:tcBorders>
              <w:top w:val="single" w:color="CCCCCC" w:sz="1"/>
              <w:left w:val="single" w:color="CCCCCC" w:sz="1"/>
              <w:bottom w:val="single" w:color="CCCCCC" w:sz="1"/>
              <w:right w:val="single" w:color="CCCCCC" w:sz="1"/>
            </w:tcBorders>
            <w:shd w:fill="1A2E4A" w:val="clear"/>
            <w:tcMar>
              <w:top w:type="dxa" w:w="80"/>
              <w:left w:type="dxa" w:w="130"/>
              <w:bottom w:type="dxa" w:w="80"/>
              <w:right w:type="dxa" w:w="130"/>
            </w:tcMar>
          </w:tcPr>
          <w:p>
            <w:pPr>
              <w:spacing w:before="70" w:after="70"/>
            </w:pPr>
            <w:r>
              <w:rPr>
                <w:rFonts w:ascii="Arial" w:cs="Arial" w:eastAsia="Arial" w:hAnsi="Arial"/>
                <w:b/>
                <w:bCs/>
                <w:color w:val="FFFFFF"/>
                <w:sz w:val="19"/>
                <w:szCs w:val="19"/>
              </w:rPr>
              <w:t xml:space="preserve">Constant</w:t>
            </w:r>
          </w:p>
        </w:tc>
        <w:tc>
          <w:tcPr>
            <w:tcW w:type="dxa" w:w="2400"/>
            <w:tcBorders>
              <w:top w:val="single" w:color="CCCCCC" w:sz="1"/>
              <w:left w:val="single" w:color="CCCCCC" w:sz="1"/>
              <w:bottom w:val="single" w:color="CCCCCC" w:sz="1"/>
              <w:right w:val="single" w:color="CCCCCC" w:sz="1"/>
            </w:tcBorders>
            <w:shd w:fill="1A2E4A" w:val="clear"/>
            <w:tcMar>
              <w:top w:type="dxa" w:w="80"/>
              <w:left w:type="dxa" w:w="130"/>
              <w:bottom w:type="dxa" w:w="80"/>
              <w:right w:type="dxa" w:w="130"/>
            </w:tcMar>
          </w:tcPr>
          <w:p>
            <w:pPr>
              <w:spacing w:before="70" w:after="70"/>
            </w:pPr>
            <w:r>
              <w:rPr>
                <w:rFonts w:ascii="Arial" w:cs="Arial" w:eastAsia="Arial" w:hAnsi="Arial"/>
                <w:b/>
                <w:bCs/>
                <w:color w:val="FFFFFF"/>
                <w:sz w:val="19"/>
                <w:szCs w:val="19"/>
              </w:rPr>
              <w:t xml:space="preserve">SD Formula</w:t>
            </w:r>
          </w:p>
        </w:tc>
        <w:tc>
          <w:tcPr>
            <w:tcW w:type="dxa" w:w="1400"/>
            <w:tcBorders>
              <w:top w:val="single" w:color="CCCCCC" w:sz="1"/>
              <w:left w:val="single" w:color="CCCCCC" w:sz="1"/>
              <w:bottom w:val="single" w:color="CCCCCC" w:sz="1"/>
              <w:right w:val="single" w:color="CCCCCC" w:sz="1"/>
            </w:tcBorders>
            <w:shd w:fill="1A2E4A" w:val="clear"/>
            <w:tcMar>
              <w:top w:type="dxa" w:w="80"/>
              <w:left w:type="dxa" w:w="130"/>
              <w:bottom w:type="dxa" w:w="80"/>
              <w:right w:type="dxa" w:w="130"/>
            </w:tcMar>
          </w:tcPr>
          <w:p>
            <w:pPr>
              <w:spacing w:before="70" w:after="70"/>
            </w:pPr>
            <w:r>
              <w:rPr>
                <w:rFonts w:ascii="Arial" w:cs="Arial" w:eastAsia="Arial" w:hAnsi="Arial"/>
                <w:b/>
                <w:bCs/>
                <w:color w:val="FFFFFF"/>
                <w:sz w:val="19"/>
                <w:szCs w:val="19"/>
              </w:rPr>
              <w:t xml:space="preserve">SD Value</w:t>
            </w:r>
          </w:p>
        </w:tc>
        <w:tc>
          <w:tcPr>
            <w:tcW w:type="dxa" w:w="1600"/>
            <w:tcBorders>
              <w:top w:val="single" w:color="CCCCCC" w:sz="1"/>
              <w:left w:val="single" w:color="CCCCCC" w:sz="1"/>
              <w:bottom w:val="single" w:color="CCCCCC" w:sz="1"/>
              <w:right w:val="single" w:color="CCCCCC" w:sz="1"/>
            </w:tcBorders>
            <w:shd w:fill="1A2E4A" w:val="clear"/>
            <w:tcMar>
              <w:top w:type="dxa" w:w="80"/>
              <w:left w:type="dxa" w:w="130"/>
              <w:bottom w:type="dxa" w:w="80"/>
              <w:right w:type="dxa" w:w="130"/>
            </w:tcMar>
          </w:tcPr>
          <w:p>
            <w:pPr>
              <w:spacing w:before="70" w:after="70"/>
            </w:pPr>
            <w:r>
              <w:rPr>
                <w:rFonts w:ascii="Arial" w:cs="Arial" w:eastAsia="Arial" w:hAnsi="Arial"/>
                <w:b/>
                <w:bCs/>
                <w:color w:val="FFFFFF"/>
                <w:sz w:val="19"/>
                <w:szCs w:val="19"/>
              </w:rPr>
              <w:t xml:space="preserve">Experimental</w:t>
            </w:r>
          </w:p>
        </w:tc>
        <w:tc>
          <w:tcPr>
            <w:tcW w:type="dxa" w:w="1400"/>
            <w:tcBorders>
              <w:top w:val="single" w:color="CCCCCC" w:sz="1"/>
              <w:left w:val="single" w:color="CCCCCC" w:sz="1"/>
              <w:bottom w:val="single" w:color="CCCCCC" w:sz="1"/>
              <w:right w:val="single" w:color="CCCCCC" w:sz="1"/>
            </w:tcBorders>
            <w:shd w:fill="1A2E4A" w:val="clear"/>
            <w:tcMar>
              <w:top w:type="dxa" w:w="80"/>
              <w:left w:type="dxa" w:w="130"/>
              <w:bottom w:type="dxa" w:w="80"/>
              <w:right w:type="dxa" w:w="130"/>
            </w:tcMar>
          </w:tcPr>
          <w:p>
            <w:pPr>
              <w:spacing w:before="70" w:after="70"/>
            </w:pPr>
            <w:r>
              <w:rPr>
                <w:rFonts w:ascii="Arial" w:cs="Arial" w:eastAsia="Arial" w:hAnsi="Arial"/>
                <w:b/>
                <w:bCs/>
                <w:color w:val="FFFFFF"/>
                <w:sz w:val="19"/>
                <w:szCs w:val="19"/>
              </w:rPr>
              <w:t xml:space="preserve">Precision</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Fine structure const. 1/α</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2⁷ + 3²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137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137.036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0.026%</w:t>
            </w:r>
          </w:p>
        </w:tc>
      </w:tr>
      <w:tr>
        <w:tc>
          <w:tcPr>
            <w:tcW w:type="dxa" w:w="256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1/α at Z mass scale</w:t>
            </w:r>
          </w:p>
        </w:tc>
        <w:tc>
          <w:tcPr>
            <w:tcW w:type="dxa" w:w="2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2⁷</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128</w:t>
            </w:r>
          </w:p>
        </w:tc>
        <w:tc>
          <w:tcPr>
            <w:tcW w:type="dxa" w:w="16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127.944</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0.044%</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GUT coupling 1/α_GUT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dim(Λ₂₄)</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~24–26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Within range</w:t>
            </w:r>
          </w:p>
        </w:tc>
      </w:tr>
      <w:tr>
        <w:tc>
          <w:tcPr>
            <w:tcW w:type="dxa" w:w="256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Weinberg angle sin²(θ_W)</w:t>
            </w:r>
          </w:p>
        </w:tc>
        <w:tc>
          <w:tcPr>
            <w:tcW w:type="dxa" w:w="2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(1/4)(1−24δ_S/763)</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0.23101</w:t>
            </w:r>
          </w:p>
        </w:tc>
        <w:tc>
          <w:tcPr>
            <w:tcW w:type="dxa" w:w="16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0.23122</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0.09%</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W/Z mass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cos(30°) = √3/2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0.866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0.8816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1.8% base</w:t>
            </w:r>
          </w:p>
        </w:tc>
      </w:tr>
      <w:tr>
        <w:tc>
          <w:tcPr>
            <w:tcW w:type="dxa" w:w="256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Top quark mass</w:t>
            </w:r>
          </w:p>
        </w:tc>
        <w:tc>
          <w:tcPr>
            <w:tcW w:type="dxa" w:w="2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SD closure</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172.7 GeV</w:t>
            </w:r>
          </w:p>
        </w:tc>
        <w:tc>
          <w:tcPr>
            <w:tcW w:type="dxa" w:w="16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172.7 GeV</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0.09%</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Strange quark mass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SD closure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96 MeV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96.0 MeV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&lt;0.1%</w:t>
            </w:r>
          </w:p>
        </w:tc>
      </w:tr>
      <w:tr>
        <w:tc>
          <w:tcPr>
            <w:tcW w:type="dxa" w:w="256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Generation count</w:t>
            </w:r>
          </w:p>
        </w:tc>
        <w:tc>
          <w:tcPr>
            <w:tcW w:type="dxa" w:w="2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Monster/E8 proof</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3 (exact)</w:t>
            </w:r>
          </w:p>
        </w:tc>
        <w:tc>
          <w:tcPr>
            <w:tcW w:type="dxa" w:w="16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3</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Exact</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Electron mass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v·g(S₁)·D(1)·(24/137)^{27/4}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0.522 MeV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0.511 MeV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2.05%</w:t>
            </w:r>
          </w:p>
        </w:tc>
      </w:tr>
      <w:tr>
        <w:tc>
          <w:tcPr>
            <w:tcW w:type="dxa" w:w="256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Z-mass shell E₃</w:t>
            </w:r>
          </w:p>
        </w:tc>
        <w:tc>
          <w:tcPr>
            <w:tcW w:type="dxa" w:w="2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M_Z·σ₃(3)/28</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91.19 GeV</w:t>
            </w:r>
          </w:p>
        </w:tc>
        <w:tc>
          <w:tcPr>
            <w:tcW w:type="dxa" w:w="16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91.19 GeV</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0.001%</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Higgs-scale shell E₄</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M_Z·σ₃(4)/28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237.8 GeV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246.2 GeV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3.4% base</w:t>
            </w:r>
          </w:p>
        </w:tc>
      </w:tr>
      <w:tr>
        <w:tc>
          <w:tcPr>
            <w:tcW w:type="dxa" w:w="256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PMNS atmospheric θ₂₃</w:t>
            </w:r>
          </w:p>
        </w:tc>
        <w:tc>
          <w:tcPr>
            <w:tcW w:type="dxa" w:w="2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S₃ cross-rail symmetry</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45°</w:t>
            </w:r>
          </w:p>
        </w:tc>
        <w:tc>
          <w:tcPr>
            <w:tcW w:type="dxa" w:w="16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45°±8°</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Within range</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f_Z (Z depth in S₃)</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(σ₃(3)−σ₃(2))/(2σ₃(4)−σ₃(3)−σ₃(2))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19/109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Exact rational</w:t>
            </w:r>
          </w:p>
        </w:tc>
      </w:tr>
      <w:tr>
        <w:tc>
          <w:tcPr>
            <w:tcW w:type="dxa" w:w="256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Lotus / owned identity weight</w:t>
            </w:r>
          </w:p>
        </w:tc>
        <w:tc>
          <w:tcPr>
            <w:tcW w:type="dxa" w:w="2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104+4 = 4×3³</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108</w:t>
            </w:r>
          </w:p>
        </w:tc>
        <w:tc>
          <w:tcPr>
            <w:tcW w:type="dxa" w:w="16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w:t>
            </w:r>
          </w:p>
        </w:tc>
        <w:tc>
          <w:tcPr>
            <w:tcW w:type="dxa" w:w="1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6B3A"/>
                <w:sz w:val="18"/>
                <w:szCs w:val="18"/>
              </w:rPr>
              <w:t xml:space="preserve">Exact structural</w:t>
            </w:r>
          </w:p>
        </w:tc>
      </w:tr>
    </w:tbl>
    <w:p>
      <w:pPr>
        <w:spacing w:before="60" w:after="60"/>
      </w:pPr>
    </w:p>
    <w:p>
      <w:pPr>
        <w:spacing w:before="80" w:after="100"/>
      </w:pPr>
      <w:r>
        <w:rPr>
          <w:rFonts w:ascii="Arial" w:cs="Arial" w:eastAsia="Arial" w:hAnsi="Arial"/>
          <w:b/>
          <w:bCs/>
          <w:i/>
          <w:iCs/>
          <w:sz w:val="22"/>
          <w:szCs w:val="22"/>
        </w:rPr>
        <w:t xml:space="preserve">Note on dressing: </w:t>
      </w:r>
      <w:r>
        <w:rPr>
          <w:rFonts w:ascii="Arial" w:cs="Arial" w:eastAsia="Arial" w:hAnsi="Arial"/>
          <w:color w:val="3D5E85"/>
          <w:sz w:val="22"/>
          <w:szCs w:val="22"/>
        </w:rPr>
        <w:t xml:space="preserve">The SD dressing mechanism is formally derived — not a free parameter. The per-stratum dressing operators are D(S₁)=0.678, D(S₂)=0.879, D(S₃)=0.564, all determined by the stratum coupling constants g(S₁)=2/5, g(S₂)=1/5, g(S₃)=6/19 (exact from prime rail structure) and the silver ratio depth scaling. The Weinberg angle formula sin²(θ_W)=(1/4)(1−24(1+√2)/763) is exact — every factor traced to first principles.</w:t>
      </w:r>
    </w:p>
    <w:p>
      <w:pPr>
        <w:spacing w:before="80" w:after="80"/>
      </w:pPr>
    </w:p>
    <w:p>
      <w:pPr>
        <w:pBdr>
          <w:bottom w:val="single" w:color="2E4B6E" w:sz="6" w:space="1"/>
        </w:pBdr>
        <w:spacing w:before="180" w:after="180"/>
      </w:pPr>
    </w:p>
    <w:p>
      <w:pPr>
        <w:pStyle w:val="Heading1"/>
        <w:spacing w:before="300" w:after="140"/>
      </w:pPr>
      <w:r>
        <w:rPr>
          <w:rFonts w:ascii="Arial" w:cs="Arial" w:eastAsia="Arial" w:hAnsi="Arial"/>
          <w:b/>
          <w:bCs/>
          <w:color w:val="1A2E4A"/>
          <w:sz w:val="28"/>
          <w:szCs w:val="28"/>
        </w:rPr>
        <w:t xml:space="preserve">V.  The Modular Period Investigation — Di-terminism Reproduces Itself</w:t>
      </w:r>
    </w:p>
    <w:p>
      <w:pPr>
        <w:spacing w:before="20" w:after="20"/>
      </w:pPr>
    </w:p>
    <w:p>
      <w:pPr>
        <w:spacing w:before="80" w:after="100"/>
      </w:pPr>
      <w:r>
        <w:rPr>
          <w:rFonts w:ascii="Arial" w:cs="Arial" w:eastAsia="Arial" w:hAnsi="Arial"/>
          <w:sz w:val="22"/>
          <w:szCs w:val="22"/>
        </w:rPr>
        <w:t xml:space="preserve">A separate investigatory programme examines the multiplicative period of 11 — the first prime outside the foundational bus {2,3,5,7} — modulo successive integers from 1 to 120 and beyond. The result: every major SD architectural constant appears as a period in this sequence.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CCCCCC" w:sz="1"/>
              <w:left w:val="single" w:color="CCCCCC" w:sz="1"/>
              <w:bottom w:val="single" w:color="CCCCCC" w:sz="1"/>
              <w:right w:val="single" w:color="CCCCCC" w:sz="1"/>
            </w:tcBorders>
            <w:shd w:fill="1A2E4A" w:val="clear"/>
            <w:tcMar>
              <w:top w:type="dxa" w:w="80"/>
              <w:left w:type="dxa" w:w="130"/>
              <w:bottom w:type="dxa" w:w="80"/>
              <w:right w:type="dxa" w:w="130"/>
            </w:tcMar>
          </w:tcPr>
          <w:p>
            <w:pPr>
              <w:spacing w:before="70" w:after="70"/>
            </w:pPr>
            <w:r>
              <w:rPr>
                <w:rFonts w:ascii="Arial" w:cs="Arial" w:eastAsia="Arial" w:hAnsi="Arial"/>
                <w:b/>
                <w:bCs/>
                <w:color w:val="FFFFFF"/>
                <w:sz w:val="19"/>
                <w:szCs w:val="19"/>
              </w:rPr>
              <w:t xml:space="preserve">Period</w:t>
            </w:r>
          </w:p>
        </w:tc>
        <w:tc>
          <w:tcPr>
            <w:tcW w:type="dxa" w:w="2400"/>
            <w:tcBorders>
              <w:top w:val="single" w:color="CCCCCC" w:sz="1"/>
              <w:left w:val="single" w:color="CCCCCC" w:sz="1"/>
              <w:bottom w:val="single" w:color="CCCCCC" w:sz="1"/>
              <w:right w:val="single" w:color="CCCCCC" w:sz="1"/>
            </w:tcBorders>
            <w:shd w:fill="1A2E4A" w:val="clear"/>
            <w:tcMar>
              <w:top w:type="dxa" w:w="80"/>
              <w:left w:type="dxa" w:w="130"/>
              <w:bottom w:type="dxa" w:w="80"/>
              <w:right w:type="dxa" w:w="130"/>
            </w:tcMar>
          </w:tcPr>
          <w:p>
            <w:pPr>
              <w:spacing w:before="70" w:after="70"/>
            </w:pPr>
            <w:r>
              <w:rPr>
                <w:rFonts w:ascii="Arial" w:cs="Arial" w:eastAsia="Arial" w:hAnsi="Arial"/>
                <w:b/>
                <w:bCs/>
                <w:color w:val="FFFFFF"/>
                <w:sz w:val="19"/>
                <w:szCs w:val="19"/>
              </w:rPr>
              <w:t xml:space="preserve">SD Constant</w:t>
            </w:r>
          </w:p>
        </w:tc>
        <w:tc>
          <w:tcPr>
            <w:tcW w:type="dxa" w:w="6060"/>
            <w:tcBorders>
              <w:top w:val="single" w:color="CCCCCC" w:sz="1"/>
              <w:left w:val="single" w:color="CCCCCC" w:sz="1"/>
              <w:bottom w:val="single" w:color="CCCCCC" w:sz="1"/>
              <w:right w:val="single" w:color="CCCCCC" w:sz="1"/>
            </w:tcBorders>
            <w:shd w:fill="1A2E4A" w:val="clear"/>
            <w:tcMar>
              <w:top w:type="dxa" w:w="80"/>
              <w:left w:type="dxa" w:w="130"/>
              <w:bottom w:type="dxa" w:w="80"/>
              <w:right w:type="dxa" w:w="130"/>
            </w:tcMar>
          </w:tcPr>
          <w:p>
            <w:pPr>
              <w:spacing w:before="70" w:after="70"/>
            </w:pPr>
            <w:r>
              <w:rPr>
                <w:rFonts w:ascii="Arial" w:cs="Arial" w:eastAsia="Arial" w:hAnsi="Arial"/>
                <w:b/>
                <w:bCs/>
                <w:color w:val="FFFFFF"/>
                <w:sz w:val="19"/>
                <w:szCs w:val="19"/>
              </w:rPr>
              <w:t xml:space="preserve">Structural Meaning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Z ground / ledger</w:t>
            </w:r>
          </w:p>
        </w:tc>
        <w:tc>
          <w:tcPr>
            <w:tcW w:type="dxa" w:w="6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11 ≡ 1 mod {1,2,5,10} — transparent to the ledger; gate cannot be self-generated</w:t>
            </w:r>
          </w:p>
        </w:tc>
      </w:tr>
      <w:tr>
        <w:tc>
          <w:tcPr>
            <w:tcW w:type="dxa" w:w="9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6</w:t>
            </w:r>
          </w:p>
        </w:tc>
        <w:tc>
          <w:tcPr>
            <w:tcW w:type="dxa" w:w="2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|(ℤ/7ℤ)*| — base-7 turnovers</w:t>
            </w:r>
          </w:p>
        </w:tc>
        <w:tc>
          <w:tcPr>
            <w:tcW w:type="dxa" w:w="606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Dominant period: 19 mod bases. All four bus rails phase-align after 6 turnovers. Gate fires on the 7th.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Gate rail period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First emergence at mod 43. Gate rail becomes visible as a period only where 7|(p−1).</w:t>
            </w:r>
          </w:p>
        </w:tc>
      </w:tr>
      <w:tr>
        <w:tc>
          <w:tcPr>
            <w:tcW w:type="dxa" w:w="9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12</w:t>
            </w:r>
          </w:p>
        </w:tc>
        <w:tc>
          <w:tcPr>
            <w:tcW w:type="dxa" w:w="2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E8 angular unit</w:t>
            </w:r>
          </w:p>
        </w:tc>
        <w:tc>
          <w:tcPr>
            <w:tcW w:type="dxa" w:w="606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360°/30° = 12° per root position. Period-12 cluster maps to E8 geometry.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3³ chain node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Lotus arm chain: 18=2×3², appears at mod {27,54,108}.</w:t>
            </w:r>
          </w:p>
        </w:tc>
      </w:tr>
      <w:tr>
        <w:tc>
          <w:tcPr>
            <w:tcW w:type="dxa" w:w="9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108</w:t>
            </w:r>
          </w:p>
        </w:tc>
        <w:tc>
          <w:tcPr>
            <w:tcW w:type="dxa" w:w="24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Lotus weight</w:t>
            </w:r>
          </w:p>
        </w:tc>
        <w:tc>
          <w:tcPr>
            <w:tcW w:type="dxa" w:w="606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Period of 11 at the lotus prime mod 109. φ(109)=108. Self-referential.</w:t>
            </w:r>
          </w:p>
        </w:tc>
      </w:tr>
    </w:tbl>
    <w:p>
      <w:pPr>
        <w:spacing w:before="40" w:after="40"/>
      </w:pPr>
    </w:p>
    <w:p>
      <w:pPr>
        <w:spacing w:before="80" w:after="100"/>
      </w:pPr>
      <w:r>
        <w:rPr>
          <w:rFonts w:ascii="Arial" w:cs="Arial" w:eastAsia="Arial" w:hAnsi="Arial"/>
          <w:sz w:val="22"/>
          <w:szCs w:val="22"/>
        </w:rPr>
        <w:t xml:space="preserve">The system reproduces its own constants through the modular period structure of the universal alignment base. This is Di-terminism's self-referential signature: the architecture is not merely consistent — it generates its own verification.</w:t>
      </w:r>
    </w:p>
    <w:p>
      <w:pPr>
        <w:spacing w:before="80" w:after="80"/>
      </w:pPr>
    </w:p>
    <w:p>
      <w:pPr>
        <w:pBdr>
          <w:bottom w:val="single" w:color="2E4B6E" w:sz="6" w:space="1"/>
        </w:pBdr>
        <w:spacing w:before="180" w:after="180"/>
      </w:pPr>
    </w:p>
    <w:p>
      <w:pPr>
        <w:pStyle w:val="Heading1"/>
        <w:spacing w:before="300" w:after="140"/>
      </w:pPr>
      <w:r>
        <w:rPr>
          <w:rFonts w:ascii="Arial" w:cs="Arial" w:eastAsia="Arial" w:hAnsi="Arial"/>
          <w:b/>
          <w:bCs/>
          <w:color w:val="1A2E4A"/>
          <w:sz w:val="28"/>
          <w:szCs w:val="28"/>
        </w:rPr>
        <w:t xml:space="preserve">VI.  What Remains Open</w:t>
      </w:r>
    </w:p>
    <w:p>
      <w:pPr>
        <w:spacing w:before="20" w:after="20"/>
      </w:pPr>
    </w:p>
    <w:p>
      <w:pPr>
        <w:spacing w:before="80" w:after="100"/>
      </w:pPr>
      <w:r>
        <w:rPr>
          <w:rFonts w:ascii="Arial" w:cs="Arial" w:eastAsia="Arial" w:hAnsi="Arial"/>
          <w:sz w:val="22"/>
          <w:szCs w:val="22"/>
        </w:rPr>
        <w:t xml:space="preserve">The SD programme is ongoing. The following are identified as the highest-priority open derivations:</w:t>
      </w:r>
    </w:p>
    <w:p>
      <w:pPr>
        <w:spacing w:before="40" w:after="40"/>
      </w:pPr>
    </w:p>
    <w:p>
      <w:pPr>
        <w:spacing w:before="60" w:after="60"/>
        <w:ind w:left="480" w:hanging="240"/>
      </w:pPr>
      <w:r>
        <w:rPr>
          <w:rFonts w:ascii="Arial" w:cs="Arial" w:eastAsia="Arial" w:hAnsi="Arial"/>
          <w:b/>
          <w:bCs/>
          <w:color w:val="2E4B6E"/>
          <w:sz w:val="22"/>
          <w:szCs w:val="22"/>
        </w:rPr>
        <w:t xml:space="preserve">• </w:t>
      </w:r>
      <w:r>
        <w:rPr>
          <w:rFonts w:ascii="Arial" w:cs="Arial" w:eastAsia="Arial" w:hAnsi="Arial"/>
          <w:sz w:val="22"/>
          <w:szCs w:val="22"/>
        </w:rPr>
        <w:t xml:space="preserve">Exact muon and tau masses — the stratum Yukawa cascade formalism (N_run structure for generations 2 and 3)</w:t>
      </w:r>
    </w:p>
    <w:p>
      <w:pPr>
        <w:spacing w:before="60" w:after="60"/>
        <w:ind w:left="480" w:hanging="240"/>
      </w:pPr>
      <w:r>
        <w:rPr>
          <w:rFonts w:ascii="Arial" w:cs="Arial" w:eastAsia="Arial" w:hAnsi="Arial"/>
          <w:b/>
          <w:bCs/>
          <w:color w:val="2E4B6E"/>
          <w:sz w:val="22"/>
          <w:szCs w:val="22"/>
        </w:rPr>
        <w:t xml:space="preserve">• </w:t>
      </w:r>
      <w:r>
        <w:rPr>
          <w:rFonts w:ascii="Arial" w:cs="Arial" w:eastAsia="Arial" w:hAnsi="Arial"/>
          <w:sz w:val="22"/>
          <w:szCs w:val="22"/>
        </w:rPr>
        <w:t xml:space="preserve">PMNS mixing angles — solar θ₁₂ and reactor θ₁₃ from S₃ dressing; CP phase δ_CP from four-direction circulation</w:t>
      </w:r>
    </w:p>
    <w:p>
      <w:pPr>
        <w:spacing w:before="60" w:after="60"/>
        <w:ind w:left="480" w:hanging="240"/>
      </w:pPr>
      <w:r>
        <w:rPr>
          <w:rFonts w:ascii="Arial" w:cs="Arial" w:eastAsia="Arial" w:hAnsi="Arial"/>
          <w:b/>
          <w:bCs/>
          <w:color w:val="2E4B6E"/>
          <w:sz w:val="22"/>
          <w:szCs w:val="22"/>
        </w:rPr>
        <w:t xml:space="preserve">• </w:t>
      </w:r>
      <w:r>
        <w:rPr>
          <w:rFonts w:ascii="Arial" w:cs="Arial" w:eastAsia="Arial" w:hAnsi="Arial"/>
          <w:sz w:val="22"/>
          <w:szCs w:val="22"/>
        </w:rPr>
        <w:t xml:space="preserve">Quark sector completion — Up, Down exact closure; Charm and Bottom dressing</w:t>
      </w:r>
    </w:p>
    <w:p>
      <w:pPr>
        <w:spacing w:before="60" w:after="60"/>
        <w:ind w:left="480" w:hanging="240"/>
      </w:pPr>
      <w:r>
        <w:rPr>
          <w:rFonts w:ascii="Arial" w:cs="Arial" w:eastAsia="Arial" w:hAnsi="Arial"/>
          <w:b/>
          <w:bCs/>
          <w:color w:val="2E4B6E"/>
          <w:sz w:val="22"/>
          <w:szCs w:val="22"/>
        </w:rPr>
        <w:t xml:space="preserve">• </w:t>
      </w:r>
      <w:r>
        <w:rPr>
          <w:rFonts w:ascii="Arial" w:cs="Arial" w:eastAsia="Arial" w:hAnsi="Arial"/>
          <w:sz w:val="22"/>
          <w:szCs w:val="22"/>
        </w:rPr>
        <w:t xml:space="preserve">POV cloning formal spec — the minimal clone set condition for identity conferral</w:t>
      </w:r>
    </w:p>
    <w:p>
      <w:pPr>
        <w:spacing w:before="60" w:after="60"/>
        <w:ind w:left="480" w:hanging="240"/>
      </w:pPr>
      <w:r>
        <w:rPr>
          <w:rFonts w:ascii="Arial" w:cs="Arial" w:eastAsia="Arial" w:hAnsi="Arial"/>
          <w:b/>
          <w:bCs/>
          <w:color w:val="2E4B6E"/>
          <w:sz w:val="22"/>
          <w:szCs w:val="22"/>
        </w:rPr>
        <w:t xml:space="preserve">• </w:t>
      </w:r>
      <w:r>
        <w:rPr>
          <w:rFonts w:ascii="Arial" w:cs="Arial" w:eastAsia="Arial" w:hAnsi="Arial"/>
          <w:sz w:val="22"/>
          <w:szCs w:val="22"/>
        </w:rPr>
        <w:t xml:space="preserve">The pit formal geometry — exact geometric structure of the commutation event</w:t>
      </w:r>
    </w:p>
    <w:p>
      <w:pPr>
        <w:spacing w:before="60" w:after="60"/>
        <w:ind w:left="480" w:hanging="240"/>
      </w:pPr>
      <w:r>
        <w:rPr>
          <w:rFonts w:ascii="Arial" w:cs="Arial" w:eastAsia="Arial" w:hAnsi="Arial"/>
          <w:b/>
          <w:bCs/>
          <w:color w:val="2E4B6E"/>
          <w:sz w:val="22"/>
          <w:szCs w:val="22"/>
        </w:rPr>
        <w:t xml:space="preserve">• </w:t>
      </w:r>
      <w:r>
        <w:rPr>
          <w:rFonts w:ascii="Arial" w:cs="Arial" w:eastAsia="Arial" w:hAnsi="Arial"/>
          <w:sz w:val="22"/>
          <w:szCs w:val="22"/>
        </w:rPr>
        <w:t xml:space="preserve">GUT cascade internal structure — which particles contribute what to the 104-unit running</w:t>
      </w:r>
    </w:p>
    <w:p>
      <w:pPr>
        <w:spacing w:before="40" w:after="40"/>
      </w:pPr>
    </w:p>
    <w:p>
      <w:pPr>
        <w:spacing w:before="80" w:after="100"/>
      </w:pPr>
      <w:r>
        <w:rPr>
          <w:rFonts w:ascii="Arial" w:cs="Arial" w:eastAsia="Arial" w:hAnsi="Arial"/>
          <w:sz w:val="22"/>
          <w:szCs w:val="22"/>
        </w:rPr>
        <w:t xml:space="preserve">Each open item has its structural path established within the framework. The derivations are tractable — they are not speculative extrapolations but formal completions of structures already in place.</w:t>
      </w:r>
    </w:p>
    <w:p>
      <w:pPr>
        <w:spacing w:before="80" w:after="80"/>
      </w:pPr>
    </w:p>
    <w:p>
      <w:pPr>
        <w:pBdr>
          <w:bottom w:val="single" w:color="2E4B6E" w:sz="6" w:space="1"/>
        </w:pBdr>
        <w:spacing w:before="180" w:after="180"/>
      </w:pPr>
    </w:p>
    <w:p>
      <w:pPr>
        <w:pStyle w:val="Heading1"/>
        <w:spacing w:before="300" w:after="140"/>
      </w:pPr>
      <w:r>
        <w:rPr>
          <w:rFonts w:ascii="Arial" w:cs="Arial" w:eastAsia="Arial" w:hAnsi="Arial"/>
          <w:b/>
          <w:bCs/>
          <w:color w:val="1A2E4A"/>
          <w:sz w:val="28"/>
          <w:szCs w:val="28"/>
        </w:rPr>
        <w:t xml:space="preserve">VII.  Reading the Full Work</w:t>
      </w:r>
    </w:p>
    <w:p>
      <w:pPr>
        <w:spacing w:before="20" w:after="20"/>
      </w:pPr>
    </w:p>
    <w:p>
      <w:pPr>
        <w:spacing w:before="80" w:after="100"/>
      </w:pPr>
      <w:r>
        <w:rPr>
          <w:rFonts w:ascii="Arial" w:cs="Arial" w:eastAsia="Arial" w:hAnsi="Arial"/>
          <w:sz w:val="22"/>
          <w:szCs w:val="22"/>
        </w:rPr>
        <w:t xml:space="preserve">The complete formal treatment is contained in the SD Mathematical Treatise v2.0 (A1Thru9Z Co., March 2026). The treatise covers nineteen parts and seventy-nine sections, proceeding from the primitive definitions through the generator partition, thyristor architecture, co-emergence proof, telos structure, Weinberg angle, lepton sector, dressing mechanism, fine structure constant, E8 shell mapping, GUT running, and lotus geometry.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CCCCCC" w:sz="1"/>
              <w:left w:val="single" w:color="CCCCCC" w:sz="1"/>
              <w:bottom w:val="single" w:color="CCCCCC" w:sz="1"/>
              <w:right w:val="single" w:color="CCCCCC" w:sz="1"/>
            </w:tcBorders>
            <w:shd w:fill="1A2E4A" w:val="clear"/>
            <w:tcMar>
              <w:top w:type="dxa" w:w="80"/>
              <w:left w:type="dxa" w:w="130"/>
              <w:bottom w:type="dxa" w:w="80"/>
              <w:right w:type="dxa" w:w="130"/>
            </w:tcMar>
          </w:tcPr>
          <w:p>
            <w:pPr>
              <w:spacing w:before="70" w:after="70"/>
            </w:pPr>
            <w:r>
              <w:rPr>
                <w:rFonts w:ascii="Arial" w:cs="Arial" w:eastAsia="Arial" w:hAnsi="Arial"/>
                <w:b/>
                <w:bCs/>
                <w:color w:val="FFFFFF"/>
                <w:sz w:val="19"/>
                <w:szCs w:val="19"/>
              </w:rPr>
              <w:t xml:space="preserve">Document</w:t>
            </w:r>
          </w:p>
        </w:tc>
        <w:tc>
          <w:tcPr>
            <w:tcW w:type="dxa" w:w="4360"/>
            <w:tcBorders>
              <w:top w:val="single" w:color="CCCCCC" w:sz="1"/>
              <w:left w:val="single" w:color="CCCCCC" w:sz="1"/>
              <w:bottom w:val="single" w:color="CCCCCC" w:sz="1"/>
              <w:right w:val="single" w:color="CCCCCC" w:sz="1"/>
            </w:tcBorders>
            <w:shd w:fill="1A2E4A" w:val="clear"/>
            <w:tcMar>
              <w:top w:type="dxa" w:w="80"/>
              <w:left w:type="dxa" w:w="130"/>
              <w:bottom w:type="dxa" w:w="80"/>
              <w:right w:type="dxa" w:w="130"/>
            </w:tcMar>
          </w:tcPr>
          <w:p>
            <w:pPr>
              <w:spacing w:before="70" w:after="70"/>
            </w:pPr>
            <w:r>
              <w:rPr>
                <w:rFonts w:ascii="Arial" w:cs="Arial" w:eastAsia="Arial" w:hAnsi="Arial"/>
                <w:b/>
                <w:bCs/>
                <w:color w:val="FFFFFF"/>
                <w:sz w:val="19"/>
                <w:szCs w:val="19"/>
              </w:rPr>
              <w:t xml:space="preserve">Contents</w:t>
            </w:r>
          </w:p>
        </w:tc>
        <w:tc>
          <w:tcPr>
            <w:tcW w:type="dxa" w:w="2200"/>
            <w:tcBorders>
              <w:top w:val="single" w:color="CCCCCC" w:sz="1"/>
              <w:left w:val="single" w:color="CCCCCC" w:sz="1"/>
              <w:bottom w:val="single" w:color="CCCCCC" w:sz="1"/>
              <w:right w:val="single" w:color="CCCCCC" w:sz="1"/>
            </w:tcBorders>
            <w:shd w:fill="1A2E4A" w:val="clear"/>
            <w:tcMar>
              <w:top w:type="dxa" w:w="80"/>
              <w:left w:type="dxa" w:w="130"/>
              <w:bottom w:type="dxa" w:w="80"/>
              <w:right w:type="dxa" w:w="130"/>
            </w:tcMar>
          </w:tcPr>
          <w:p>
            <w:pPr>
              <w:spacing w:before="70" w:after="70"/>
            </w:pPr>
            <w:r>
              <w:rPr>
                <w:rFonts w:ascii="Arial" w:cs="Arial" w:eastAsia="Arial" w:hAnsi="Arial"/>
                <w:b/>
                <w:bCs/>
                <w:color w:val="FFFFFF"/>
                <w:sz w:val="19"/>
                <w:szCs w:val="19"/>
              </w:rPr>
              <w:t xml:space="preserve">Audience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SD Mathematical Treatise v2.0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Full formal treatment — 19 parts, 79 sections, all theorems, proofs, and derivations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Formal mathematics / physics</w:t>
            </w:r>
          </w:p>
        </w:tc>
      </w:tr>
      <w:tr>
        <w:tc>
          <w:tcPr>
            <w:tcW w:type="dxa" w:w="28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Di-terminism: Priority Disclosure v1.0</w:t>
            </w:r>
          </w:p>
        </w:tc>
        <w:tc>
          <w:tcPr>
            <w:tcW w:type="dxa" w:w="436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Complete IP record — all theorems, coined terms, derived constants, open items, formal declaration</w:t>
            </w:r>
          </w:p>
        </w:tc>
        <w:tc>
          <w:tcPr>
            <w:tcW w:type="dxa" w:w="22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Legal / priority establishment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Di-terminism: Mod-Period Matrix v1.0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Modular period investigation — 11^n mod m for m=1 to 120, period classes, SD constant mapping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Mathematical investigation</w:t>
            </w:r>
          </w:p>
        </w:tc>
      </w:tr>
      <w:tr>
        <w:tc>
          <w:tcPr>
            <w:tcW w:type="dxa" w:w="28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bCs/>
                <w:color w:val="1A2E4A"/>
                <w:sz w:val="18"/>
                <w:szCs w:val="18"/>
              </w:rPr>
              <w:t xml:space="preserve">This document</w:t>
            </w:r>
          </w:p>
        </w:tc>
        <w:tc>
          <w:tcPr>
            <w:tcW w:type="dxa" w:w="436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Executive abstract — framework overview, key results, precision table, open items</w:t>
            </w:r>
          </w:p>
        </w:tc>
        <w:tc>
          <w:tcPr>
            <w:tcW w:type="dxa" w:w="2200"/>
            <w:tcBorders>
              <w:top w:val="single" w:color="CCCCCC" w:sz="1"/>
              <w:left w:val="single" w:color="CCCCCC" w:sz="1"/>
              <w:bottom w:val="single" w:color="CCCCCC" w:sz="1"/>
              <w:right w:val="single" w:color="CCCCCC" w:sz="1"/>
            </w:tcBorders>
            <w:shd w:fill="EAF0F8" w:val="clear"/>
            <w:tcMar>
              <w:top w:type="dxa" w:w="80"/>
              <w:left w:type="dxa" w:w="130"/>
              <w:bottom w:type="dxa" w:w="80"/>
              <w:right w:type="dxa" w:w="130"/>
            </w:tcMar>
          </w:tcPr>
          <w:p>
            <w:pPr>
              <w:spacing w:before="70" w:after="70"/>
            </w:pPr>
            <w:r>
              <w:rPr>
                <w:rFonts w:ascii="Arial" w:cs="Arial" w:eastAsia="Arial" w:hAnsi="Arial"/>
                <w:b w:val="false"/>
                <w:bCs w:val="false"/>
                <w:color w:val="1A2E4A"/>
                <w:sz w:val="18"/>
                <w:szCs w:val="18"/>
              </w:rPr>
              <w:t xml:space="preserve">General / physics / philosophy</w:t>
            </w:r>
          </w:p>
        </w:tc>
      </w:tr>
    </w:tbl>
    <w:p>
      <w:pPr>
        <w:spacing w:before="80" w:after="80"/>
      </w:pPr>
    </w:p>
    <w:p>
      <w:pPr>
        <w:pBdr>
          <w:bottom w:val="single" w:color="2E4B6E" w:sz="6" w:space="1"/>
        </w:pBdr>
        <w:spacing w:before="180" w:after="180"/>
      </w:pPr>
    </w:p>
    <w:p>
      <w:pPr>
        <w:spacing w:before="80" w:after="80"/>
      </w:pPr>
    </w:p>
    <w:p>
      <w:pPr>
        <w:spacing w:before="0" w:after="60"/>
        <w:jc w:val="center"/>
      </w:pPr>
      <w:r>
        <w:rPr>
          <w:rFonts w:ascii="Arial" w:cs="Arial" w:eastAsia="Arial" w:hAnsi="Arial"/>
          <w:b/>
          <w:bCs/>
          <w:i/>
          <w:iCs/>
          <w:color w:val="1A2E4A"/>
          <w:sz w:val="26"/>
          <w:szCs w:val="26"/>
        </w:rPr>
        <w:t xml:space="preserve">The integer set is not a passive number line.</w:t>
      </w:r>
    </w:p>
    <w:p>
      <w:pPr>
        <w:spacing w:before="0" w:after="60"/>
        <w:jc w:val="center"/>
      </w:pPr>
      <w:r>
        <w:rPr>
          <w:rFonts w:ascii="Arial" w:cs="Arial" w:eastAsia="Arial" w:hAnsi="Arial"/>
          <w:i/>
          <w:iCs/>
          <w:color w:val="2E4B6E"/>
          <w:sz w:val="24"/>
          <w:szCs w:val="24"/>
        </w:rPr>
        <w:t xml:space="preserve">It is the architecture through which identity processes itself.</w:t>
      </w:r>
    </w:p>
    <w:p>
      <w:pPr>
        <w:spacing w:before="0" w:after="60"/>
        <w:jc w:val="center"/>
      </w:pPr>
      <w:r>
        <w:rPr>
          <w:rFonts w:ascii="Arial" w:cs="Arial" w:eastAsia="Arial" w:hAnsi="Arial"/>
          <w:i/>
          <w:iCs/>
          <w:color w:val="2E4B6E"/>
          <w:sz w:val="24"/>
          <w:szCs w:val="24"/>
        </w:rPr>
        <w:t xml:space="preserve">The physical constants are where the geometry closes.</w:t>
      </w:r>
    </w:p>
    <w:p>
      <w:pPr>
        <w:spacing w:before="80" w:after="80"/>
      </w:pPr>
    </w:p>
    <w:p>
      <w:pPr>
        <w:pBdr>
          <w:bottom w:val="single" w:color="CCCCCC" w:sz="2" w:space="1"/>
        </w:pBdr>
        <w:spacing w:before="80" w:after="80"/>
      </w:pPr>
    </w:p>
    <w:p>
      <w:pPr>
        <w:spacing w:before="40" w:after="40"/>
      </w:pPr>
    </w:p>
    <w:p>
      <w:pPr>
        <w:spacing w:before="0" w:after="0"/>
        <w:jc w:val="right"/>
      </w:pPr>
      <w:r>
        <w:rPr>
          <w:rFonts w:ascii="Arial" w:cs="Arial" w:eastAsia="Arial" w:hAnsi="Arial"/>
          <w:i/>
          <w:iCs/>
          <w:color w:val="888888"/>
          <w:sz w:val="18"/>
          <w:szCs w:val="18"/>
        </w:rPr>
        <w:t xml:space="preserve">A1Thru9Z Co.   —   Structural Determinism / Di-terminism</w:t>
      </w:r>
    </w:p>
    <w:p>
      <w:pPr>
        <w:spacing w:before="20" w:after="0"/>
        <w:jc w:val="right"/>
      </w:pPr>
      <w:r>
        <w:rPr>
          <w:rFonts w:ascii="Arial" w:cs="Arial" w:eastAsia="Arial" w:hAnsi="Arial"/>
          <w:i/>
          <w:iCs/>
          <w:color w:val="888888"/>
          <w:sz w:val="18"/>
          <w:szCs w:val="18"/>
        </w:rPr>
        <w:t xml:space="preserve">Executive Abstract v1.0   |   March 19, 2026</w:t>
      </w:r>
    </w:p>
    <w:sectPr>
      <w:pgSz w:w="12240" w:h="15840" w:orient="portrait"/>
      <w:pgMar w:top="1440" w:right="156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A2E4A"/>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E4B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2026-03-19T20:12:55.716Z</dcterms:created>
  <dcterms:modified xsi:type="dcterms:W3CDTF">2026-03-19T20:12:55.718Z</dcterms:modified>
</cp:coreProperties>
</file>

<file path=docProps/custom.xml><?xml version="1.0" encoding="utf-8"?>
<Properties xmlns="http://schemas.openxmlformats.org/officeDocument/2006/custom-properties" xmlns:vt="http://schemas.openxmlformats.org/officeDocument/2006/docPropsVTypes"/>
</file>