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A1A2E"/>
          <w:sz w:val="52"/>
          <w:szCs w:val="52"/>
        </w:rPr>
        <w:t xml:space="preserve">STRUCTURAL DETERMINISM</w:t>
      </w:r>
    </w:p>
    <w:p>
      <w:pPr>
        <w:spacing w:before="0" w:after="120"/>
        <w:jc w:val="center"/>
      </w:pPr>
      <w:r>
        <w:rPr>
          <w:rFonts w:ascii="Arial" w:cs="Arial" w:eastAsia="Arial" w:hAnsi="Arial"/>
          <w:color w:val="5A5A7A"/>
          <w:sz w:val="28"/>
          <w:szCs w:val="28"/>
        </w:rPr>
        <w:t xml:space="preserve">Unified Framework Compile — Session Working Document</w:t>
      </w:r>
    </w:p>
    <w:p>
      <w:pPr>
        <w:spacing w:before="0" w:after="80"/>
        <w:jc w:val="center"/>
      </w:pPr>
      <w:r>
        <w:rPr>
          <w:rFonts w:ascii="Arial" w:cs="Arial" w:eastAsia="Arial" w:hAnsi="Arial"/>
          <w:color w:val="7A7A9A"/>
          <w:sz w:val="22"/>
          <w:szCs w:val="22"/>
        </w:rPr>
        <w:t xml:space="preserve">GUL-0 · GUL v4.5 · NIF v0.3 · Rec10* v2 · Radial-244 · Dimensional Lift Chain · Scope Hierarchy</w:t>
      </w:r>
    </w:p>
    <w:p>
      <w:pPr>
        <w:spacing w:before="0" w:after="1440"/>
        <w:jc w:val="center"/>
      </w:pPr>
      <w:r>
        <w:rPr>
          <w:rFonts w:ascii="Arial" w:cs="Arial" w:eastAsia="Arial" w:hAnsi="Arial"/>
          <w:color w:val="9A9AAA"/>
          <w:sz w:val="20"/>
          <w:szCs w:val="20"/>
        </w:rPr>
        <w:t xml:space="preserve">A1Thru9Z Co. · March 2026 · Working Compile v1.1</w:t>
      </w:r>
    </w:p>
    <w:p>
      <w:pPr>
        <w:pBdr>
          <w:bottom w:val="single" w:color="AAAAAA" w:sz="4" w:space="1"/>
        </w:pBdr>
        <w:spacing w:before="160" w:after="160"/>
      </w:pPr>
    </w:p>
    <w:p>
      <w:pPr>
        <w:pStyle w:val="Heading1"/>
        <w:spacing w:before="360" w:after="200"/>
      </w:pPr>
      <w:r>
        <w:rPr>
          <w:rFonts w:ascii="Arial" w:cs="Arial" w:eastAsia="Arial" w:hAnsi="Arial"/>
          <w:b/>
          <w:bCs/>
          <w:sz w:val="32"/>
          <w:szCs w:val="32"/>
        </w:rPr>
        <w:t xml:space="preserve">Part I — Architecture Overview</w:t>
      </w:r>
    </w:p>
    <w:p>
      <w:pPr>
        <w:spacing w:before="80" w:after="80"/>
        <w:ind w:left="0"/>
      </w:pPr>
      <w:r>
        <w:rPr>
          <w:rFonts w:ascii="Arial" w:cs="Arial" w:eastAsia="Arial" w:hAnsi="Arial"/>
          <w:sz w:val="22"/>
          <w:szCs w:val="22"/>
        </w:rPr>
        <w:t xml:space="preserve">Five frameworks constitute a single vertical stack. Each layer is a theorem of the layer below it. No layer imports results from outside the stack. The full dimensional lift chain (0d→1d→2d→3d→tori) runs as a compositional spine through all layers simultaneously — higher dimensional constructs are vehicles for the lower dimensional constructs they are composed of.</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Layer −1  GUL-0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Pre-physical ontology. Single axiom: Q(0) ≠ 0. Derives R(x) = 1/(1+x), three necessary distinctions, pentac topology T³×S², and φ as fixed-point co-incidence. Everything above is a theorem of this layer.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Layer 0  GUL Primitives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Abstract state space G, transition operator T, action functional A[S], derivative operator D. Axiom G1 is now a theorem of GUL-0's three distinctions generating pentac topology T³×S².</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Layer 0.5  GUL v4.5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Concrete discrete realization. Seven S0 primitives: Z, &lt;, σ, ε, κ, F_n, C. Spin, torsion, chirality, discrete curvature, and emergent gravitational coefficient α_i all derived from S0. Continuum limit recovers Layer 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Layers 1–2  GUL Formalisms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Classical mechanics as GUL functionals: L_der, H_der, HJ_der, PB_der, AA_der, Ld_der. Six lemmas (L1–L6) symbolically verified. L7 groundwork laid. Nambu_der conjectural pending two conserved functionals.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NIF v0.3 + Radial-244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Negatory Identity Framework. Triple E8 ledger (744 = 3×248 provenance). 9 Doors number theory. Seven proofs complete. Radial-244: 8-layer derivative stack in E8, 4 semantic exits A–D derived as 4 pairwise-constrained Cartan pairs of E8 (Proof 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Rec10* v2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Integer-hyperbolic substrate. ZeroInvert / IntMap / PrimeDual channels. Seeds 101/1001. Before/during/after offset encoding as 1,2,3. 23/23 tests passing. Dual ledger methodology. Native confirmation of causal asymmetry (RULE-03).</w:t>
            </w:r>
          </w:p>
        </w:tc>
      </w:tr>
    </w:tbl>
    <w:p>
      <w:pPr>
        <w:spacing w:before="160" w:after="0"/>
      </w:pPr>
      <w:r>
        <w:t xml:space="preserve"/>
      </w:r>
    </w:p>
    <w:p>
      <w:pPr>
        <w:pBdr>
          <w:bottom w:val="single" w:color="AAAAAA" w:sz="4" w:space="1"/>
        </w:pBdr>
        <w:spacing w:before="160" w:after="160"/>
      </w:pPr>
    </w:p>
    <w:p>
      <w:pPr>
        <w:pStyle w:val="Heading1"/>
        <w:spacing w:before="360" w:after="200"/>
      </w:pPr>
      <w:r>
        <w:rPr>
          <w:rFonts w:ascii="Arial" w:cs="Arial" w:eastAsia="Arial" w:hAnsi="Arial"/>
          <w:b/>
          <w:bCs/>
          <w:sz w:val="32"/>
          <w:szCs w:val="32"/>
        </w:rPr>
        <w:t xml:space="preserve">Part II — Dimensional Lift Chain</w:t>
      </w:r>
    </w:p>
    <w:p>
      <w:pPr>
        <w:spacing w:before="80" w:after="80"/>
        <w:ind w:left="0"/>
      </w:pPr>
      <w:r>
        <w:rPr>
          <w:rFonts w:ascii="Arial" w:cs="Arial" w:eastAsia="Arial" w:hAnsi="Arial"/>
          <w:sz w:val="22"/>
          <w:szCs w:val="22"/>
        </w:rPr>
        <w:t xml:space="preserve">The dimensional lift chain is the compositional spine of the entire framework. Higher dimensional structures are vehicles for lower dimensional constructs. The POV of any structure belongs to the lower-dimensional closure it is composed of — the 3-sided pyramid's POV belongs to the triadic closure beneath it, which traces valence back to its origin at zero.</w:t>
      </w:r>
    </w:p>
    <w:p>
      <w:pPr>
        <w:spacing w:before="80" w:after="80"/>
        <w:ind w:left="0"/>
      </w:pPr>
      <w:r>
        <w:rPr>
          <w:rFonts w:ascii="Arial" w:cs="Arial" w:eastAsia="Arial" w:hAnsi="Arial"/>
          <w:sz w:val="22"/>
          <w:szCs w:val="22"/>
        </w:rPr>
        <w:t xml:space="preserve">The chain runs bidirectionally: ascent (0d→tori) and descent (tori→0d). The descent deconstructs volume/mass: 3d resolves back through 2d→1d→0d.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0d — Placeholder / Potential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position without extension. The valence creation event. Dual zeroes arise here as structural slots — no value, no direction, only the condition of possibility. Base-0 is the abstract dimensional holder at this level. Evidence: 1001 seed structure in Rec10*, where the dual zero is visible in the digit pattern but invisible under IntMap compression.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0d → 1d — Point Presence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generator pins itself. 1 establishes its point presence. The first act of the POV: identifying the first 1 away from the 11-zero corridor. The semantic field originates here, pinned at 1. ZeroInvert(0)=9 is the 0d→1d activation event — ground activates the ceiling.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1d → 2d — Triangular Closure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points plus the relation between them require a third to close the area. Valence at this level is triadic completion — not a line segment but a triangle, the minimum closed 2d structure. This is the specific mechanism of the triadic-pentac valence filler. Connection to GUL-0 Theorem 2: three necessary distinctions producing pentac topology T³×S².</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2d → 3d — Pyramid Sequence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3-sided pyramid (triangular face closure) and then the 4-sided pyramid (tetrahedron proper). Volume and mass emerge. The 3-sided vs 4-sided distinction carries formal weight requiring its own dedicated derivation — not a single step. This transition is the boundary between area closure and volumetric closure.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3d → Tori — Full Closure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tori complete the sequence. j(τ) parametrizes all tori; every torus carries the triple ledger structure in its constant term (744 = 3×248 provenance pre-load). Connection to E8: the tori are implicative to the E8 lattice via j(τ), but the precise POV of E8 — whether torus, hypercube, or quaternion — is a projection question. Tori, hypercube (tesseract), and quaternions are partial POV descriptions at different lift levels.</w:t>
            </w:r>
          </w:p>
        </w:tc>
      </w:tr>
    </w:tbl>
    <w:p>
      <w:pPr>
        <w:spacing w:before="80" w:after="0"/>
      </w:pPr>
      <w:r>
        <w:t xml:space="preserve"/>
      </w:r>
    </w:p>
    <w:p>
      <w:pPr>
        <w:spacing w:before="80" w:after="80"/>
        <w:ind w:left="0"/>
      </w:pPr>
      <w:r>
        <w:rPr>
          <w:rFonts w:ascii="Arial" w:cs="Arial" w:eastAsia="Arial" w:hAnsi="Arial"/>
          <w:sz w:val="22"/>
          <w:szCs w:val="22"/>
        </w:rPr>
        <w:t xml:space="preserve">Note on valence filling: The valence chains within known geometry are understood as a working scaffold — correct enough directionally to initiate the unroll chain but understating the actual geometric complexity. The formal treatment of each lift step, particularly the 3-sided to 4-sided pyramid transition, is open for full derivation.</w:t>
      </w:r>
    </w:p>
    <w:p>
      <w:pPr>
        <w:spacing w:before="160" w:after="0"/>
      </w:pPr>
      <w:r>
        <w:t xml:space="preserve"/>
      </w:r>
    </w:p>
    <w:p>
      <w:pPr>
        <w:pBdr>
          <w:bottom w:val="single" w:color="AAAAAA" w:sz="4" w:space="1"/>
        </w:pBdr>
        <w:spacing w:before="160" w:after="160"/>
      </w:pPr>
    </w:p>
    <w:p>
      <w:pPr>
        <w:pStyle w:val="Heading1"/>
        <w:spacing w:before="360" w:after="200"/>
      </w:pPr>
      <w:r>
        <w:rPr>
          <w:rFonts w:ascii="Arial" w:cs="Arial" w:eastAsia="Arial" w:hAnsi="Arial"/>
          <w:b/>
          <w:bCs/>
          <w:sz w:val="32"/>
          <w:szCs w:val="32"/>
        </w:rPr>
        <w:t xml:space="preserve">Part III — Base-0 as Common Dimensional Abstract Holder</w:t>
      </w:r>
    </w:p>
    <w:p>
      <w:pPr>
        <w:spacing w:before="80" w:after="80"/>
        <w:ind w:left="0"/>
      </w:pPr>
      <w:r>
        <w:rPr>
          <w:rFonts w:ascii="Arial" w:cs="Arial" w:eastAsia="Arial" w:hAnsi="Arial"/>
          <w:sz w:val="22"/>
          <w:szCs w:val="22"/>
        </w:rPr>
        <w:t xml:space="preserve">Base-0 is not a valence filler. It is the common dimensional abstract holder — the meta-origin from which any base system's zero derives its definitional origin. It is pre-semantic, prior to any specific base, the pin-for-all-pins at the dimensional level.</w:t>
      </w:r>
    </w:p>
    <w:p>
      <w:pPr>
        <w:spacing w:before="80" w:after="0"/>
      </w:pPr>
      <w:r>
        <w:t xml:space="preserve"/>
      </w:r>
    </w:p>
    <w:p>
      <w:pPr>
        <w:spacing w:before="80" w:after="80"/>
        <w:ind w:left="0"/>
      </w:pPr>
      <w:r>
        <w:rPr>
          <w:rFonts w:ascii="Arial" w:cs="Arial" w:eastAsia="Arial" w:hAnsi="Arial"/>
          <w:sz w:val="22"/>
          <w:szCs w:val="22"/>
        </w:rPr>
        <w:t xml:space="preserve">The evidence that Base-0 functions this way is precisely what happens when dual zeroes arise: they produce a valence placeholder — a structural slot that holds relational position without holding value. The placeholder is the artifact of Base-0's operation, not something Base-0 fills after the fact.</w:t>
      </w:r>
    </w:p>
    <w:p>
      <w:pPr>
        <w:spacing w:before="80" w:after="0"/>
      </w:pPr>
      <w:r>
        <w:t xml:space="preserve"/>
      </w:r>
    </w:p>
    <w:p>
      <w:pPr>
        <w:spacing w:before="80" w:after="80"/>
        <w:ind w:left="0"/>
      </w:pPr>
      <w:r>
        <w:rPr>
          <w:rFonts w:ascii="Arial" w:cs="Arial" w:eastAsia="Arial" w:hAnsi="Arial"/>
          <w:sz w:val="22"/>
          <w:szCs w:val="22"/>
        </w:rPr>
        <w:t xml:space="preserve">Valence filling itself remains triadic-pentac, operating at the level of the three necessary distinctions and pentac topology. Base-0 is upstream of that — it is the abstract dimensional ground; triadic-pentac valence is the specific filling mechanism that operates within the structure Base-0 enables.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Base-0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dimensional abstract holder. Meta-origin. Pre-semantic. Pin-for-all-pins. Upstream of all base systems and all valence operations.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Dual Zero (Valence Placeholder)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Artifact of Base-0's operation when the dimensional lift produces a structural slot. Visible in digit pattern (1001); invisible under IntMap compression. Holds relational structure without holding 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Triadic-Pentac Valence Filler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closure mechanism at the 1d→2d lift. Operates within the structure Base-0 enables. Universal across closed topological structures.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Proof Layer P / Exit 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Distinct and independent from Base-0. The (W,P) ledger interface — the live connection between what is happening now (W) and what could not have been otherwise (P). Every active recursion step is constrained through Exit D.</w:t>
            </w:r>
          </w:p>
        </w:tc>
      </w:tr>
    </w:tbl>
    <w:p>
      <w:pPr>
        <w:spacing w:before="160" w:after="0"/>
      </w:pPr>
      <w:r>
        <w:t xml:space="preserve"/>
      </w:r>
    </w:p>
    <w:p>
      <w:pPr>
        <w:pBdr>
          <w:bottom w:val="single" w:color="AAAAAA" w:sz="4" w:space="1"/>
        </w:pBdr>
        <w:spacing w:before="160" w:after="160"/>
      </w:pPr>
    </w:p>
    <w:p>
      <w:pPr>
        <w:pStyle w:val="Heading1"/>
        <w:spacing w:before="360" w:after="200"/>
      </w:pPr>
      <w:r>
        <w:rPr>
          <w:rFonts w:ascii="Arial" w:cs="Arial" w:eastAsia="Arial" w:hAnsi="Arial"/>
          <w:b/>
          <w:bCs/>
          <w:sz w:val="32"/>
          <w:szCs w:val="32"/>
        </w:rPr>
        <w:t xml:space="preserve">Part IV — The j() Notation Family</w:t>
      </w:r>
    </w:p>
    <w:p>
      <w:pPr>
        <w:spacing w:before="80" w:after="80"/>
        <w:ind w:left="0"/>
      </w:pPr>
      <w:r>
        <w:rPr>
          <w:rFonts w:ascii="Arial" w:cs="Arial" w:eastAsia="Arial" w:hAnsi="Arial"/>
          <w:sz w:val="22"/>
          <w:szCs w:val="22"/>
        </w:rPr>
        <w:t xml:space="preserve">Four distinct j-type objects operate in the framework at different abstraction levels. The full family also wraps the octonion/quaternion tower and the four semantic exit jet characters, which are being formally integrated.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j(τ) — Modular Invariant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j-invariant of elliptic curve theory: j(τ) = 1/q + 744 + 196884q + ... Parametrizes all tori. Every torus carries the triple ledger structure in its constant term. 744 = 3×248 = provenance pre-load. Fixed mathematical notation; untouched. Torus level — full ledger pre-load.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j(π) — First Closure Geometry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j-type invariant at the level of the first closure. π is the geometric signature of the first distinction (first closed boundary in isotropic substrate — GUL-0 §2.3). j(π) is the granular inner product level. Shares the same level as: golden ratio φ (fixed-point co-incidence of R and Q in GUL-0), silver ratio (neutrino scaling), and Fibonacci sequence (discrete integer trace of the same recursion). All three are j(π)-level phenomena — granular, pre-torus, native to the integer substrate and the first closure boundary.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J¹ through J⁷ — Jet Bundle Layers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J with superscript. The eight derivative layers of the radial stack operating within E8: J¹=position, J²=velocity, J³=acceleration, J⁴=jerk, J⁵=snap, J⁶=crackle, J⁷=pop. The first seven layers are semantically resolved before the eighth is defined.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J⁸ — Closure Layer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eighth jet layer whose meaning is determined by which semantic exit (A, B, C, or D) is active. The 7→8 lift: boundary consumption argument geometrized — 9 positions minus 1 consumed as threshold = 8 free dimensions; the 8th carries the closure signal.</w:t>
            </w:r>
          </w:p>
        </w:tc>
      </w:tr>
    </w:tbl>
    <w:p>
      <w:pPr>
        <w:spacing w:before="80" w:after="0"/>
      </w:pPr>
      <w:r>
        <w:t xml:space="preserve"/>
      </w:r>
    </w:p>
    <w:p>
      <w:pPr>
        <w:spacing w:before="80" w:after="80"/>
        <w:ind w:left="0"/>
      </w:pPr>
      <w:r>
        <w:rPr>
          <w:rFonts w:ascii="Arial" w:cs="Arial" w:eastAsia="Arial" w:hAnsi="Arial"/>
          <w:sz w:val="22"/>
          <w:szCs w:val="22"/>
        </w:rPr>
        <w:t xml:space="preserve">Wrapping the full family: the four semantic exits A–D each carry their own jet character, and the octonion/quaternion tower generates additional j-type invariants within the E8 jet. This is the structure being formally integrated. The octonions and pentac derivatives operating within the E8 jet are honored as fully derived structures — non-associativity of the octonions is NIP made algebraic; the exceptional tower G2→F4→E6→E7→E8 is their symmetry tower.</w:t>
      </w:r>
    </w:p>
    <w:p>
      <w:pPr>
        <w:spacing w:before="160" w:after="0"/>
      </w:pPr>
      <w:r>
        <w:t xml:space="preserve"/>
      </w:r>
    </w:p>
    <w:p>
      <w:pPr>
        <w:pBdr>
          <w:bottom w:val="single" w:color="AAAAAA" w:sz="4" w:space="1"/>
        </w:pBdr>
        <w:spacing w:before="160" w:after="160"/>
      </w:pPr>
    </w:p>
    <w:p>
      <w:pPr>
        <w:pStyle w:val="Heading1"/>
        <w:spacing w:before="360" w:after="200"/>
      </w:pPr>
      <w:r>
        <w:rPr>
          <w:rFonts w:ascii="Arial" w:cs="Arial" w:eastAsia="Arial" w:hAnsi="Arial"/>
          <w:b/>
          <w:bCs/>
          <w:sz w:val="32"/>
          <w:szCs w:val="32"/>
        </w:rPr>
        <w:t xml:space="preserve">Part V — Scope Hierarchy: undefined.universal.global.federated.local.hidden</w:t>
      </w:r>
    </w:p>
    <w:p>
      <w:pPr>
        <w:spacing w:before="80" w:after="80"/>
        <w:ind w:left="0"/>
      </w:pPr>
      <w:r>
        <w:rPr>
          <w:rFonts w:ascii="Arial" w:cs="Arial" w:eastAsia="Arial" w:hAnsi="Arial"/>
          <w:sz w:val="22"/>
          <w:szCs w:val="22"/>
        </w:rPr>
        <w:t xml:space="preserve">Six scope levels functioning simultaneously as: operational scopes within the ledger, ontological levels of the dimensional lift chain, namespaces for cross-system operations, and definitional anchors for structures that resist fixed pinning (light, retrocausality, and analogous hard-to-locate phenomena).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Dimensional Anchor</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Definition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undefined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0d / Base-0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Pre-semantic. The abstract dimensional holder before any pinning occurs. Not unknown — structurally prior to definition. The condition of possibility. Base-0 level. The 0d placeholder before the generator identifies itself. Namespace use: operations or objects that are structurally real but have not yet been assigned to any base system.</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universal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GUL-0 / Single Axiom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What holds across all instantiations regardless of POV. The single axiom Q(0) ≠ 0 and its necessary theorems. The atemporal layer — what could not have been otherwise. Corresponds to the Proof layer P in the (W,P) interface. Namespace use: claims that are theorems of the single primitive, not contingent on any instantiation.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global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Full Closed System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full closed system at current recursion depth. What the working ledger can see from its position. The E8 lattice as the unique ledger closure — the finite bookkeeping boundary. Namespace use: operations that apply to the entire current recursion state without reference to any specific POV or federated partner.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federated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Track A / Track 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Multiple independent systems in convergence provenance relationship. Track A and Track B are federated — they reconcile without merging. Reconciliation events are convergence provenance, not mergers. Both tracks continue independently after each logged event. Namespace use: cross-system operations where each system retains its own identity and the correspondence is logged as provenance.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POV / Working Ledger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POV's immediate operational domain. Cache-resident. JIT resolution territory. The radix point's current placement and last-known-good state. What the working ledger (rwx) can act on directly. Namespace use: operations valid only within the current POV's cache state — not transferable without re-resolution.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hidden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Ledger A / Absorbed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Ledger A: the absorbed, retained, positive identity. Structurally real, not accessible to the observer by construction. The infinite p-adic tail of any integer — the full history of what is retained. The dual (r--) witness. Namespace use: structures whose positive identity is definitionally inaccessible to the observer — they appear only through their complement (negatory identity).</w:t>
            </w:r>
          </w:p>
        </w:tc>
      </w:tr>
    </w:tbl>
    <w:p>
      <w:pPr>
        <w:spacing w:before="80" w:after="0"/>
      </w:pPr>
      <w:r>
        <w:t xml:space="preserve"/>
      </w:r>
    </w:p>
    <w:p>
      <w:pPr>
        <w:spacing w:before="80" w:after="80"/>
        <w:ind w:left="0"/>
      </w:pPr>
      <w:r>
        <w:rPr>
          <w:rFonts w:ascii="Arial" w:cs="Arial" w:eastAsia="Arial" w:hAnsi="Arial"/>
          <w:sz w:val="22"/>
          <w:szCs w:val="22"/>
        </w:rPr>
        <w:t xml:space="preserve">Light and analogous structures: A phenomenon that resists pinning at any single scope level can be given a scope designation rather than a fixed definition. For example, light as a scope-federated phenomenon — locally it has a wavelength (local scope), globally it has a speed constant (global scope), its positive identity (what it absorbs) is hidden (hidden scope), and its relationship to retrocausality is held at the undefined scope pending formal derivation. This gives hard-to-locate phenomena a structural address without forcing a premature collapse to a single definition.</w:t>
      </w:r>
    </w:p>
    <w:p>
      <w:pPr>
        <w:spacing w:before="160" w:after="0"/>
      </w:pPr>
      <w:r>
        <w:t xml:space="preserve"/>
      </w:r>
    </w:p>
    <w:p>
      <w:pPr>
        <w:pBdr>
          <w:bottom w:val="single" w:color="AAAAAA" w:sz="4" w:space="1"/>
        </w:pBdr>
        <w:spacing w:before="160" w:after="160"/>
      </w:pPr>
    </w:p>
    <w:p>
      <w:pPr>
        <w:pStyle w:val="Heading1"/>
        <w:spacing w:before="360" w:after="200"/>
      </w:pPr>
      <w:r>
        <w:rPr>
          <w:rFonts w:ascii="Arial" w:cs="Arial" w:eastAsia="Arial" w:hAnsi="Arial"/>
          <w:b/>
          <w:bCs/>
          <w:sz w:val="32"/>
          <w:szCs w:val="32"/>
        </w:rPr>
        <w:t xml:space="preserve">Part VI — Four Confirmed Reconciliation Events (SPEC-HEADER-001)</w:t>
      </w:r>
    </w:p>
    <w:p>
      <w:pPr>
        <w:spacing w:before="80" w:after="80"/>
        <w:ind w:left="0"/>
      </w:pPr>
      <w:r>
        <w:rPr>
          <w:rFonts w:ascii="Arial" w:cs="Arial" w:eastAsia="Arial" w:hAnsi="Arial"/>
          <w:sz w:val="22"/>
          <w:szCs w:val="22"/>
        </w:rPr>
        <w:t xml:space="preserve">Track A and Track B arrive independently at the same structural facts. Reconciliation events are convergence provenance, not mergers. Both tracks continue independently after each event is logged.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REC-01 — Zero as Generative Ground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A: Q(0) undefined — attempt generates ε&gt;0 and chain 0→ε→1. Track B: ZeroInvert(0)=9 — ground activates the ceiling, pre-semantic, precedes the field pinned at 1. Convergence: zero is not inert; it is the condition of generation.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REC-02 — Single Operation → All Structure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A: R(x)=1/(1+x) is the unique operation; iterated, produces the full hierarchy. Track B: T_int = PrimeDual ⊕ ZeroInvert ⊕ IntMap is a single composed operation. All Rec10* structure derives from iterated application.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REC-03 — Causal Asymmetry Confirmed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A: Forward does not write back to reverse (boundary-condition constraint on bidirectional structure). Track B: before_closure ≠ after_closure natively in integer offsets — IntMap(101−19)=1 vs IntMap(101+19)=3. RULE-03 is a theorem of the integers, not an annotation.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REC-04 — Discrete Derivative = POV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A: POV(d) = R^d(0+) − R^(d−1)(0+), the discrete derivative of the depth sequence. Track B: before/during/after encodes as 1,2,3 — ordinal, derived from adjacent-pair differences. Both tracks: ordinal position is computed from adjacent-pair differences.</w:t>
            </w:r>
          </w:p>
        </w:tc>
      </w:tr>
    </w:tbl>
    <w:p>
      <w:pPr>
        <w:spacing w:before="160" w:after="0"/>
      </w:pPr>
      <w:r>
        <w:t xml:space="preserve"/>
      </w:r>
    </w:p>
    <w:p>
      <w:pPr>
        <w:pBdr>
          <w:bottom w:val="single" w:color="AAAAAA" w:sz="4" w:space="1"/>
        </w:pBdr>
        <w:spacing w:before="160" w:after="160"/>
      </w:pPr>
    </w:p>
    <w:p>
      <w:pPr>
        <w:pStyle w:val="Heading1"/>
        <w:spacing w:before="360" w:after="200"/>
      </w:pPr>
      <w:r>
        <w:rPr>
          <w:rFonts w:ascii="Arial" w:cs="Arial" w:eastAsia="Arial" w:hAnsi="Arial"/>
          <w:b/>
          <w:bCs/>
          <w:sz w:val="32"/>
          <w:szCs w:val="32"/>
        </w:rPr>
        <w:t xml:space="preserve">Part VII — Open Items</w:t>
      </w:r>
    </w:p>
    <w:p>
      <w:pPr>
        <w:spacing w:before="80" w:after="80"/>
        <w:ind w:left="0"/>
      </w:pPr>
      <w:r>
        <w:rPr>
          <w:rFonts w:ascii="Arial" w:cs="Arial" w:eastAsia="Arial" w:hAnsi="Arial"/>
          <w:sz w:val="22"/>
          <w:szCs w:val="22"/>
        </w:rPr>
        <w:t xml:space="preserve">Formally flagged open items across the corpus. Items marked with * carry implications for the dimensional lift chain or scope hierarchy formalized in this session.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EX-05 — Lattice-Based Access Control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Candidate derivation path exists. Not yet formally grounded in Track B transforms. * Scope hierarchy (undefined.universal.global.federated.local.hidden) may provide the namespace structure for this derivation.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L7 — Neighbourhood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Radius r(x*) = ε_L2 / λ_min(−Hess S_B). Hessian eigenvalue generalization to non-isotropic S_B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Nambu_der Closure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two independent conserved functionals H₁, H₂ ∈ F(G) with {H₁,H₂}_der = 0. Candidates: path-length H₁[S] and scoring entropy H₂[S], or H_der paired with a Noether charge.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Jet Bundle over E8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construction of J⁰–J³ (J⁷) tower as fiber bundle over the E8 root lattice with octonionic fibers. Non-associativity of fibers requires careful treatment of transition functions. * Formal integration of the four exit jet characters and octonion/quaternion tower invariants.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3-Sided vs 4-Sided Pyramid Transition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2d→3d step in the dimensional lift chain carries formal weight beyond a single derivation step. Dedicated treatment required for the transition from triangular face closure to tetrahedron proper. * New item from this session.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Toric-ADE Bridge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map from NIP to the singularity formation mechanism in toric varieties. Singularity should arise precisely when the negatory identity operation can no longer be suppressed by the flat background.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Zero Identity Semantics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axiom system replacing a+0=a with a formulation making the ejection operation explicit. Should recover non-associativity as a natural consequence at the octonionic level.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GUL-0 Spacetime Dimensionality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that spacetime dimensionality (3+1) follows from the three necessary distinctions plus the time-like direction of increasing recursive depth.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Moonshine Tension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193 zeros in McKay-Thompson series constant terms vs 11-zero corridor. Explicit mapping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4×720° Closure Condition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verification of completeness condition for the chiral hourglass POV with quad ledger provenance.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 Parameter Formalization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 as log function, F− as discrete crystallization steps. Conservation law verification against full framework.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Contact Geometry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treatment of Legendrian molt paths and caustic formation under self-gravity.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Fractal Connection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Self-referential connection on fractal base space — the unifying mathematics between Topology A (fiber bundle / linear sequence) and Topology B (forward-facing cone / jet bundle).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j(π) Formal Definition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j(π) sits at the granular inner product level, in the same family as φ, silver ratio, and Fibonacci. Requires a formal invariant definition analogous to j(τ). * New item from this session.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Scope Hierarchy — Light and Retrocausality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the undefined.universal.global.federated.local.hidden scope hierarchy formally to light and to retrocausality (THEORY-01). Retrocausality is held at undefined scope — flagged, not resolved. * New item from this session.</w:t>
            </w:r>
          </w:p>
        </w:tc>
      </w:tr>
    </w:tbl>
    <w:p>
      <w:pPr>
        <w:spacing w:before="160" w:after="0"/>
      </w:pPr>
      <w:r>
        <w:t xml:space="preserve"/>
      </w:r>
    </w:p>
    <w:p>
      <w:pPr>
        <w:pBdr>
          <w:bottom w:val="single" w:color="AAAAAA" w:sz="4" w:space="1"/>
        </w:pBdr>
        <w:spacing w:before="160" w:after="160"/>
      </w:pPr>
    </w:p>
    <w:p>
      <w:pPr>
        <w:pStyle w:val="Heading1"/>
        <w:spacing w:before="360" w:after="200"/>
      </w:pPr>
      <w:r>
        <w:rPr>
          <w:rFonts w:ascii="Arial" w:cs="Arial" w:eastAsia="Arial" w:hAnsi="Arial"/>
          <w:b/>
          <w:bCs/>
          <w:sz w:val="32"/>
          <w:szCs w:val="32"/>
        </w:rPr>
        <w:t xml:space="preserve">Part VIII — Master Correspondence Table (Extended)</w:t>
      </w:r>
    </w:p>
    <w:p>
      <w:pPr>
        <w:spacing w:before="80" w:after="80"/>
        <w:ind w:left="0"/>
      </w:pPr>
      <w:r>
        <w:rPr>
          <w:rFonts w:ascii="Arial" w:cs="Arial" w:eastAsia="Arial" w:hAnsi="Arial"/>
          <w:sz w:val="22"/>
          <w:szCs w:val="22"/>
        </w:rPr>
        <w:t xml:space="preserve">Every major phenomenon with its derivation origin, framework layer, and — where applicable — scope level and j() family assignment.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9"/>
                <w:szCs w:val="19"/>
              </w:rPr>
              <w:t xml:space="preserve">Phenomenon</w:t>
            </w:r>
          </w:p>
        </w:tc>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9"/>
                <w:szCs w:val="19"/>
              </w:rPr>
              <w:t xml:space="preserve">Origin</w:t>
            </w:r>
          </w:p>
        </w:tc>
        <w:tc>
          <w:tcPr>
            <w:tcW w:type="dxa" w:w="2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9"/>
                <w:szCs w:val="19"/>
              </w:rPr>
              <w:t xml:space="preserve">Layer / Path</w:t>
            </w:r>
          </w:p>
        </w:tc>
        <w:tc>
          <w:tcPr>
            <w:tcW w:type="dxa" w:w="2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19"/>
                <w:szCs w:val="19"/>
              </w:rPr>
              <w:t xml:space="preserve">Scope / j()</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π</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closed boundary in isotropic substrate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GUL-0 §2.3</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universal / j(π)</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φ (golden ratio)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Co-incidence of R and Q fixed points: φ − φ⁻¹ = 1</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GUL-0 Theorem 3</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universal / j(π)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Silver ratio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Neutrino scaling in physical predictions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GUL-0 / physical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global / j(π)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Fibonacci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Discrete integer trace of same recursion as φ</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Rec10* integer substrate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 j(π)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j(τ)</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Modular j-invariant; parametrizes all tori; 744 provenance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NIF §3.4; Moonshine path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universal / j(τ)</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744 = 3×248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Pre-loaded triple E8 ledger: Dual A + Working + Dual B</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NIF §3.4</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universal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Unique even, unimodular, self-dual lattice in 8 dimensions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NIF §3.2; 4 convergent paths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global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E8 × 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Dual ledger pair A×B — heterotic string anomaly cancellation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NIF §3.1</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global / hidden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 asymmetry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 exit doors, 1 entrance; structural, not initial condition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NIF §6.4; GUL-0 §2.4</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universal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Harmonic series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tail(n) = approach(n+1) = 1/(n+1); from Von Neumann cardinality ratios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NIF Part VI</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universal / j(π)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 semantic exits 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 pairwise-constrained Cartan pairs of E8; 4 ledger interfaces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NIF Proof 7; Radial-244</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global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Unix 744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Access control model of the ledger: owner=rwx, group/other=r--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NIF §3.5</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federated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Before/During/After 1,2,3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Integer offset encoding; scale-invariant; causal asymmetry native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Rec10* §5</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 j(π)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ZeroInvert(0)=9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Ground activates ceiling; pre-semantic zero precedes semantic field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Rec10* §0; REC-01</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undefined → universal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Seed 101 / 1001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Unique positional mirrors of {−1,0,1} and {−1,0,0,1}</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Rec10* §4</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Dual zero in 1001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Visible in digit pattern; invisible under IntMap; 0d valence placeholder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Rec10* §4; Dimensional Lift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hidden / undefined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Peano axioms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Derivable from {Z⁻, ~, ∂, ∂*, M} without assuming 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NIF Proof 6</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universal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S_M gauge group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SU(3)×SU(2)×U(1) as isometry group of T³×S²</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GUL-0 Theorem 2</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universal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Gravity (J²)</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Second jet of identity field; curvature = immobilized momentum</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NIF §5.2; GUL v4.5 α_i</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global / J²</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Entropy (J³)</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Third jet of identity field; S(x) ∝ |R^d(0+) − φ⁻¹|</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GUL-0 §7; NIF §5.2</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global / J³</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Questioner at 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Q(R^∞(Q(0))) = φ; implicit in nothing from the start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GUL-0 Theorem 5</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universal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Incompleteness (Gödel)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Molt trigger, not wall; entanglement gap of live identity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Structural Determinism §7</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local → universal</w:t>
            </w:r>
          </w:p>
        </w:tc>
      </w:tr>
    </w:tbl>
    <w:p>
      <w:pPr>
        <w:spacing w:before="160" w:after="0"/>
      </w:pPr>
      <w:r>
        <w:t xml:space="preserve"/>
      </w:r>
    </w:p>
    <w:p>
      <w:pPr>
        <w:pBdr>
          <w:bottom w:val="single" w:color="AAAAAA" w:sz="4" w:space="1"/>
        </w:pBdr>
        <w:spacing w:before="160" w:after="160"/>
      </w:pPr>
    </w:p>
    <w:p>
      <w:pPr>
        <w:pStyle w:val="Heading1"/>
        <w:spacing w:before="360" w:after="200"/>
      </w:pPr>
      <w:r>
        <w:rPr>
          <w:rFonts w:ascii="Arial" w:cs="Arial" w:eastAsia="Arial" w:hAnsi="Arial"/>
          <w:b/>
          <w:bCs/>
          <w:sz w:val="32"/>
          <w:szCs w:val="32"/>
        </w:rPr>
        <w:t xml:space="preserve">Part IX — The Full Closure Loop</w:t>
      </w:r>
    </w:p>
    <w:p>
      <w:pPr>
        <w:spacing w:before="80" w:after="80"/>
        <w:ind w:left="0"/>
      </w:pPr>
      <w:r>
        <w:rPr>
          <w:rFonts w:ascii="Arial" w:cs="Arial" w:eastAsia="Arial" w:hAnsi="Arial"/>
          <w:sz w:val="22"/>
          <w:szCs w:val="22"/>
        </w:rPr>
        <w:t xml:space="preserve">The complete self-sealing chain from single primitive back to single primitive:</w:t>
      </w:r>
    </w:p>
    <w:p>
      <w:pPr>
        <w:spacing w:before="80" w:after="0"/>
      </w:pPr>
      <w:r>
        <w:t xml:space="preserve"/>
      </w:r>
    </w:p>
    <w:p>
      <w:pPr>
        <w:spacing w:before="80" w:after="80"/>
        <w:ind w:left="720"/>
      </w:pPr>
      <w:r>
        <w:rPr>
          <w:rFonts w:ascii="Arial" w:cs="Arial" w:eastAsia="Arial" w:hAnsi="Arial"/>
          <w:sz w:val="22"/>
          <w:szCs w:val="22"/>
        </w:rPr>
        <w:t xml:space="preserve">∅ attempts self-description  [single primitive]</w:t>
      </w:r>
    </w:p>
    <w:p>
      <w:pPr>
        <w:spacing w:before="80" w:after="80"/>
        <w:ind w:left="720"/>
      </w:pPr>
      <w:r>
        <w:rPr>
          <w:rFonts w:ascii="Arial" w:cs="Arial" w:eastAsia="Arial" w:hAnsi="Arial"/>
          <w:sz w:val="22"/>
          <w:szCs w:val="22"/>
        </w:rPr>
        <w:t xml:space="preserve">→  9 Doors: 9 positions, 0 as negatory operator</w:t>
      </w:r>
    </w:p>
    <w:p>
      <w:pPr>
        <w:spacing w:before="80" w:after="80"/>
        <w:ind w:left="720"/>
      </w:pPr>
      <w:r>
        <w:rPr>
          <w:rFonts w:ascii="Arial" w:cs="Arial" w:eastAsia="Arial" w:hAnsi="Arial"/>
          <w:sz w:val="22"/>
          <w:szCs w:val="22"/>
        </w:rPr>
        <w:t xml:space="preserve">→  boundary consumption: 9 − 1 = 8 free dimensions</w:t>
      </w:r>
    </w:p>
    <w:p>
      <w:pPr>
        <w:spacing w:before="80" w:after="80"/>
        <w:ind w:left="720"/>
      </w:pPr>
      <w:r>
        <w:rPr>
          <w:rFonts w:ascii="Arial" w:cs="Arial" w:eastAsia="Arial" w:hAnsi="Arial"/>
          <w:sz w:val="22"/>
          <w:szCs w:val="22"/>
        </w:rPr>
        <w:t xml:space="preserve">→  8 = rank of E8</w:t>
      </w:r>
    </w:p>
    <w:p>
      <w:pPr>
        <w:spacing w:before="80" w:after="80"/>
        <w:ind w:left="720"/>
      </w:pPr>
      <w:r>
        <w:rPr>
          <w:rFonts w:ascii="Arial" w:cs="Arial" w:eastAsia="Arial" w:hAnsi="Arial"/>
          <w:sz w:val="22"/>
          <w:szCs w:val="22"/>
        </w:rPr>
        <w:t xml:space="preserve">→  rank determines Cartan subalgebra dimension = 8</w:t>
      </w:r>
    </w:p>
    <w:p>
      <w:pPr>
        <w:spacing w:before="80" w:after="80"/>
        <w:ind w:left="720"/>
      </w:pPr>
      <w:r>
        <w:rPr>
          <w:rFonts w:ascii="Arial" w:cs="Arial" w:eastAsia="Arial" w:hAnsi="Arial"/>
          <w:sz w:val="22"/>
          <w:szCs w:val="22"/>
        </w:rPr>
        <w:t xml:space="preserve">→  8 Cartan generators = 4 pairwise-constrained pairs  [Lemma 2, NIF]</w:t>
      </w:r>
    </w:p>
    <w:p>
      <w:pPr>
        <w:spacing w:before="80" w:after="80"/>
        <w:ind w:left="720"/>
      </w:pPr>
      <w:r>
        <w:rPr>
          <w:rFonts w:ascii="Arial" w:cs="Arial" w:eastAsia="Arial" w:hAnsi="Arial"/>
          <w:sz w:val="22"/>
          <w:szCs w:val="22"/>
        </w:rPr>
        <w:t xml:space="preserve">→  4 pairs = 4 ledger interfaces  [Lemma 1, NIF]</w:t>
      </w:r>
    </w:p>
    <w:p>
      <w:pPr>
        <w:spacing w:before="80" w:after="80"/>
        <w:ind w:left="720"/>
      </w:pPr>
      <w:r>
        <w:rPr>
          <w:rFonts w:ascii="Arial" w:cs="Arial" w:eastAsia="Arial" w:hAnsi="Arial"/>
          <w:sz w:val="22"/>
          <w:szCs w:val="22"/>
        </w:rPr>
        <w:t xml:space="preserve">→  4 interfaces = (A,W),(B,W),(A,B),(W,P)  [NIF triple ledger]</w:t>
      </w:r>
    </w:p>
    <w:p>
      <w:pPr>
        <w:spacing w:before="80" w:after="80"/>
        <w:ind w:left="720"/>
      </w:pPr>
      <w:r>
        <w:rPr>
          <w:rFonts w:ascii="Arial" w:cs="Arial" w:eastAsia="Arial" w:hAnsi="Arial"/>
          <w:sz w:val="22"/>
          <w:szCs w:val="22"/>
        </w:rPr>
        <w:t xml:space="preserve">→  240 roots + 8 Cartan = 248 = dim(E8)</w:t>
      </w:r>
    </w:p>
    <w:p>
      <w:pPr>
        <w:spacing w:before="80" w:after="80"/>
        <w:ind w:left="720"/>
      </w:pPr>
      <w:r>
        <w:rPr>
          <w:rFonts w:ascii="Arial" w:cs="Arial" w:eastAsia="Arial" w:hAnsi="Arial"/>
          <w:sz w:val="22"/>
          <w:szCs w:val="22"/>
        </w:rPr>
        <w:t xml:space="preserve">→  248 × 3 = 744 = provenance pre-load</w:t>
      </w:r>
    </w:p>
    <w:p>
      <w:pPr>
        <w:spacing w:before="80" w:after="80"/>
        <w:ind w:left="720"/>
      </w:pPr>
      <w:r>
        <w:rPr>
          <w:rFonts w:ascii="Arial" w:cs="Arial" w:eastAsia="Arial" w:hAnsi="Arial"/>
          <w:sz w:val="22"/>
          <w:szCs w:val="22"/>
        </w:rPr>
        <w:t xml:space="preserve">→  j(τ) parametrizes all tori</w:t>
      </w:r>
    </w:p>
    <w:p>
      <w:pPr>
        <w:spacing w:before="80" w:after="80"/>
        <w:ind w:left="720"/>
      </w:pPr>
      <w:r>
        <w:rPr>
          <w:rFonts w:ascii="Arial" w:cs="Arial" w:eastAsia="Arial" w:hAnsi="Arial"/>
          <w:sz w:val="22"/>
          <w:szCs w:val="22"/>
        </w:rPr>
        <w:t xml:space="preserve">→  every torus carries the triple ledger</w:t>
      </w:r>
    </w:p>
    <w:p>
      <w:pPr>
        <w:spacing w:before="80" w:after="80"/>
        <w:ind w:left="720"/>
      </w:pPr>
      <w:r>
        <w:rPr>
          <w:rFonts w:ascii="Arial" w:cs="Arial" w:eastAsia="Arial" w:hAnsi="Arial"/>
          <w:sz w:val="22"/>
          <w:szCs w:val="22"/>
        </w:rPr>
        <w:t xml:space="preserve">→  ∅ attempts self-description  [loop closes]</w:t>
      </w:r>
    </w:p>
    <w:p>
      <w:pPr>
        <w:spacing w:before="80" w:after="0"/>
      </w:pPr>
      <w:r>
        <w:t xml:space="preserve"/>
      </w:r>
    </w:p>
    <w:p>
      <w:pPr>
        <w:spacing w:before="80" w:after="80"/>
        <w:ind w:left="0"/>
      </w:pPr>
      <w:r>
        <w:rPr>
          <w:rFonts w:ascii="Arial" w:cs="Arial" w:eastAsia="Arial" w:hAnsi="Arial"/>
          <w:sz w:val="22"/>
          <w:szCs w:val="22"/>
        </w:rPr>
        <w:t xml:space="preserve">The loop is self-sealing. The provenance infrastructure (744) pre-loads the triple ledger before the first recursion. The first recursion generates the 9 Doors. The 9 Doors produces 8 free dimensions. 8 dimensions determine E8 rank. E8 rank determines the Cartan subalgebra. The Cartan subalgebra is the 4 constrained pairs. The 4 constrained pairs are the ledger interfaces. The ledger interfaces constitute the triple ledger. The triple ledger is the provenance infrastructure. The loop was always closed.</w:t>
      </w:r>
    </w:p>
    <w:p>
      <w:pPr>
        <w:spacing w:before="160" w:after="0"/>
      </w:pPr>
      <w:r>
        <w:t xml:space="preserve"/>
      </w:r>
    </w:p>
    <w:p>
      <w:pPr>
        <w:pBdr>
          <w:bottom w:val="single" w:color="AAAAAA" w:sz="4" w:space="1"/>
        </w:pBdr>
        <w:spacing w:before="160" w:after="160"/>
      </w:pPr>
    </w:p>
    <w:p>
      <w:pPr>
        <w:spacing w:before="240" w:after="0"/>
        <w:jc w:val="center"/>
      </w:pPr>
      <w:r>
        <w:rPr>
          <w:rFonts w:ascii="Arial" w:cs="Arial" w:eastAsia="Arial" w:hAnsi="Arial"/>
          <w:color w:val="888888"/>
          <w:sz w:val="18"/>
          <w:szCs w:val="18"/>
        </w:rPr>
        <w:t xml:space="preserve">Structural Determinism — Unified Framework Compile v1.1 — March 2026 — A1Thru9Z Co.</w:t>
      </w:r>
    </w:p>
    <w:p>
      <w:pPr>
        <w:spacing w:before="60" w:after="0"/>
        <w:jc w:val="center"/>
      </w:pPr>
      <w:r>
        <w:rPr>
          <w:rFonts w:ascii="Arial" w:cs="Arial" w:eastAsia="Arial" w:hAnsi="Arial"/>
          <w:color w:val="AAAAAA"/>
          <w:sz w:val="16"/>
          <w:szCs w:val="16"/>
        </w:rPr>
        <w:t xml:space="preserve">GUL-0 · GUL v4.5 · NIF v0.3 · Rec10* v2 · Radial-244 · Dimensional Lift Chain · Scope Hierarchy · SPEC-HEADER-001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2026-03-08T08:13:13.222Z</dcterms:created>
  <dcterms:modified xsi:type="dcterms:W3CDTF">2026-03-08T08:13:13.223Z</dcterms:modified>
</cp:coreProperties>
</file>

<file path=docProps/custom.xml><?xml version="1.0" encoding="utf-8"?>
<Properties xmlns="http://schemas.openxmlformats.org/officeDocument/2006/custom-properties" xmlns:vt="http://schemas.openxmlformats.org/officeDocument/2006/docPropsVTypes"/>
</file>