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 🔧 Procedimentos</w:t>
      </w:r>
    </w:p>
    <w:p>
      <w:pPr>
        <w:pStyle w:val="FirstParagraph"/>
      </w:pPr>
      <w:r>
        <w:t xml:space="preserve">Procedimentos técnicos e funcionais destinados a:</w:t>
      </w:r>
    </w:p>
    <w:p>
      <w:pPr>
        <w:pStyle w:val="Compact"/>
        <w:numPr>
          <w:ilvl w:val="0"/>
          <w:numId w:val="1001"/>
        </w:numPr>
      </w:pPr>
      <w:r>
        <w:t xml:space="preserve">Developers;</w:t>
      </w:r>
    </w:p>
    <w:p>
      <w:pPr>
        <w:pStyle w:val="Compact"/>
        <w:numPr>
          <w:ilvl w:val="0"/>
          <w:numId w:val="1001"/>
        </w:numPr>
      </w:pPr>
      <w:r>
        <w:t xml:space="preserve">Techleads de Produto;</w:t>
      </w:r>
    </w:p>
    <w:p>
      <w:pPr>
        <w:pStyle w:val="Compact"/>
        <w:numPr>
          <w:ilvl w:val="0"/>
          <w:numId w:val="1001"/>
        </w:numPr>
      </w:pPr>
      <w:r>
        <w:t xml:space="preserve">TechLeads de Fábrica;</w:t>
      </w:r>
    </w:p>
    <w:p>
      <w:pPr>
        <w:pStyle w:val="Compact"/>
        <w:numPr>
          <w:ilvl w:val="0"/>
          <w:numId w:val="1001"/>
        </w:numPr>
      </w:pPr>
      <w:r>
        <w:t xml:space="preserve">PO’s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🔧 Procedimentos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