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Boas Práticas de Segurança</w:t>
      </w:r>
    </w:p>
    <w:bookmarkStart w:id="20" w:name="boas-práticas-de-segurança"/>
    <w:p>
      <w:pPr>
        <w:pStyle w:val="Heading1"/>
      </w:pPr>
      <w:r>
        <w:t xml:space="preserve">Boas Práticas de Segurança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</w:p>
    <w:p>
      <w:pPr>
        <w:pStyle w:val="BodyText"/>
      </w:pPr>
      <w:r>
        <w:rPr>
          <w:b/>
          <w:bCs/>
        </w:rPr>
        <w:t xml:space="preserve">Decisão</w:t>
      </w:r>
    </w:p>
    <w:p>
      <w:pPr>
        <w:pStyle w:val="BodyText"/>
      </w:pPr>
      <w:r>
        <w:rPr>
          <w:b/>
          <w:bCs/>
        </w:rPr>
        <w:t xml:space="preserve">Consequências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Boas Práticas de Segurança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