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5.2.4.1 %2D Obrigatoriedade de sequence em qualquer tabela publicada</w:t>
      </w:r>
    </w:p>
    <w:p>
      <w:pPr>
        <w:pStyle w:val="FirstParagraph"/>
      </w:pPr>
      <w:r>
        <w:t xml:space="preserve">#Regra principal:</w:t>
      </w:r>
      <w:r>
        <w:br/>
      </w:r>
      <w:r>
        <w:t xml:space="preserve">Toda a tabela publicada deve ter uma </w:t>
      </w:r>
      <w:r>
        <w:rPr>
          <w:b/>
          <w:bCs/>
        </w:rPr>
        <w:t xml:space="preserve">PK técnica</w:t>
      </w:r>
      <w:r>
        <w:t xml:space="preserve"> (surrogate key) gerada por </w:t>
      </w:r>
      <w:r>
        <w:rPr>
          <w:b/>
          <w:bCs/>
        </w:rPr>
        <w:t xml:space="preserve">sequence</w:t>
      </w:r>
      <w:r>
        <w:t xml:space="preserve"> (idealmente </w:t>
      </w:r>
      <w:r>
        <w:rPr>
          <w:rStyle w:val="VerbatimChar"/>
        </w:rPr>
        <w:t xml:space="preserve">CACHE</w:t>
      </w:r>
      <w:r>
        <w:t xml:space="preserve">), usada como identificador estável e imutável.</w:t>
      </w:r>
    </w:p>
    <w:p>
      <w:pPr>
        <w:pStyle w:val="BodyText"/>
      </w:pPr>
      <w:r>
        <w:t xml:space="preserve">#Razão da regra:</w:t>
      </w:r>
      <w:r>
        <w:t xml:space="preserve"> </w:t>
      </w:r>
      <w:r>
        <w:t xml:space="preserve">* ##Identidade não é negócio.</w:t>
      </w:r>
      <w:r>
        <w:br/>
      </w:r>
      <w:r>
        <w:t xml:space="preserve">Chaves naturais (email, código externo) mudam, têm regras de validação, podem ser nulas e frequentemente geram cascatas de updates. PK técnica evita isso.</w:t>
      </w:r>
      <w:r>
        <w:t xml:space="preserve"> </w:t>
      </w:r>
      <w:r>
        <w:t xml:space="preserve">* ##Integração e rastreabilidade.</w:t>
      </w:r>
      <w:r>
        <w:br/>
      </w:r>
      <w:r>
        <w:t xml:space="preserve">Sistemas externos, logs, auditoria, replicação e troubleshooting ficam muito mais simples quando existe um identificador único, curto e estável.</w:t>
      </w:r>
      <w:r>
        <w:t xml:space="preserve"> </w:t>
      </w:r>
      <w:r>
        <w:t xml:space="preserve">* ##Performance e índices.</w:t>
      </w:r>
      <w:r>
        <w:br/>
      </w:r>
      <w:r>
        <w:t xml:space="preserve">PK numérica (sequência) é barata para indexar e realizar joins. Reduz largura de índices e melhora planos.</w:t>
      </w:r>
      <w:r>
        <w:t xml:space="preserve"> </w:t>
      </w:r>
      <w:r>
        <w:t xml:space="preserve">* ###RAC e concorrência.</w:t>
      </w:r>
      <w:r>
        <w:br/>
      </w:r>
      <w:r>
        <w:t xml:space="preserve">Sequência com cache é o mecanismo mais escalável e seguro para gerar entradas únicas sob alto throughput (evita contenção e hot-spots no dicionário).</w:t>
      </w:r>
      <w:r>
        <w:t xml:space="preserve"> </w:t>
      </w:r>
      <w:r>
        <w:t xml:space="preserve">###Recomendação:</w:t>
      </w:r>
      <w:r>
        <w:t xml:space="preserve"> </w:t>
      </w:r>
      <w:r>
        <w:t xml:space="preserve">* Usar sequência com a CACHE apropriada.</w:t>
      </w:r>
      <w:r>
        <w:t xml:space="preserve"> </w:t>
      </w:r>
      <w:r>
        <w:t xml:space="preserve">* A PK deve ser imutável (nunca reutilizada, modificada ou recalculada).</w:t>
      </w:r>
      <w:r>
        <w:t xml:space="preserve"> </w:t>
      </w:r>
      <w:r>
        <w:t xml:space="preserve">* Não usar a PK como semântica (idade, ordem, lote, etc).</w:t>
      </w:r>
      <w:r>
        <w:t xml:space="preserve"> </w:t>
      </w:r>
      <w:r>
        <w:t xml:space="preserve">* Se o negócio exigir um identificador humano ou regulatório (exemplo, nº da fatura), deve ser uma coluna separada com regras próprias.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20" w:before="480"/>
      <w:outlineLvl w:val="0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80" w:before="320"/>
      <w:outlineLvl w:val="1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80" w:before="240"/>
      <w:outlineLvl w:val="2"/>
    </w:pPr>
    <w:rPr>
      <w:rFonts w:ascii="Segoe UI" w:cs="Segoe UI" w:hAnsi="Segoe UI"/>
      <w:b/>
      <w:bCs/>
      <w:color w:val="1F2328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60" w:before="160"/>
      <w:outlineLvl w:val="3"/>
    </w:pPr>
    <w:rPr>
      <w:rFonts w:ascii="Segoe UI" w:cs="Segoe UI" w:hAnsi="Segoe UI"/>
      <w:b/>
      <w:bCs/>
      <w:color w:val="1F2328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qFormat/>
    <w:pPr>
      <w:keepNext/>
      <w:keepLines/>
      <w:spacing w:after="40" w:before="120"/>
      <w:outlineLvl w:val="4"/>
    </w:pPr>
    <w:rPr>
      <w:rFonts w:ascii="Segoe UI" w:cs="Segoe UI" w:hAnsi="Segoe UI"/>
      <w:b/>
      <w:bCs/>
      <w:color w:val="636E7B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qFormat/>
    <w:pPr>
      <w:keepNext/>
      <w:keepLines/>
      <w:spacing w:after="40" w:before="80"/>
      <w:outlineLvl w:val="5"/>
    </w:pPr>
    <w:rPr>
      <w:rFonts w:ascii="Segoe UI" w:cs="Segoe UI" w:hAnsi="Segoe UI"/>
      <w:color w:val="636E7B"/>
      <w:sz w:val="22"/>
      <w:szCs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Pr>
      <w:rFonts w:ascii="Segoe UI" w:cs="Segoe UI" w:hAnsi="Segoe UI"/>
      <w:b/>
      <w:bCs/>
      <w:color w:val="1F23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Pr>
      <w:rFonts w:ascii="Segoe UI" w:cs="Segoe UI" w:hAnsi="Segoe UI"/>
      <w:b/>
      <w:bCs/>
      <w:color w:val="1F23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pPr>
      <w:spacing w:after="80" w:before="80"/>
      <w:ind w:left="480"/>
      <w:pBdr>
        <w:left w:color="D0D7DE" w:space="12" w:sz="12" w:val="single"/>
      </w:pBdr>
    </w:pPr>
    <w:rPr>
      <w:color w:val="636E7B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urier New" w:hAnsi="Consolas"/>
      <w:color w:val="C0392B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969DA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pacing w:after="80" w:before="80"/>
      <w:ind w:left="120" w:right="120"/>
      <w:pBdr>
        <w:top w:color="D0D7DE" w:space="2" w:sz="4" w:val="single"/>
        <w:left w:color="D0D7DE" w:space="6" w:sz="4" w:val="single"/>
        <w:bottom w:color="D0D7DE" w:space="2" w:sz="4" w:val="single"/>
        <w:right w:color="D0D7DE" w:space="6" w:sz="4" w:val="single"/>
      </w:pBdr>
      <w:shd w:color="auto" w:fill="F6F8FA" w:val="clear"/>
    </w:pPr>
    <w:rPr>
      <w:rFonts w:ascii="Consolas" w:cs="Courier New" w:hAnsi="Consolas"/>
      <w:color w:val="1F2328"/>
      <w:sz w:val="20"/>
      <w:szCs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5.2.4.1 %2D Obrigatoriedade de sequence em qualquer tabela publicada</dc:title>
  <dc:creator/>
  <cp:keywords/>
  <dcterms:created xsi:type="dcterms:W3CDTF">2026-04-23T22:00:37Z</dcterms:created>
  <dcterms:modified xsi:type="dcterms:W3CDTF">2026-04-23T22:00:37Z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