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5.2.6 Binários nas Tabelas (BLOBs)</w:t>
      </w:r>
    </w:p>
    <w:p>
      <w:pPr>
        <w:pStyle w:val="FirstParagraph"/>
      </w:pPr>
    </w:p>
    <w:bookmarkStart w:id="26" w:name="guideline-binários-nas-tabelas-blobs"/>
    <w:p>
      <w:pPr>
        <w:pStyle w:val="Heading1"/>
      </w:pPr>
      <w:r>
        <w:t xml:space="preserve">Guideline : Binários nas Tabelas (BLOBs)</w:t>
      </w:r>
    </w:p>
    <w:p>
      <w:pPr>
        <w:numPr>
          <w:ilvl w:val="0"/>
          <w:numId w:val="1001"/>
        </w:numPr>
      </w:pPr>
      <w:r>
        <w:t xml:space="preserve">BLOB (Binary LOB) tem como intuito armazenar dados binários;</w:t>
      </w:r>
    </w:p>
    <w:p>
      <w:pPr>
        <w:numPr>
          <w:ilvl w:val="0"/>
          <w:numId w:val="1001"/>
        </w:numPr>
      </w:pPr>
      <w:r>
        <w:t xml:space="preserve">O tipo de dado em OutSystems é definido como</w:t>
      </w:r>
      <w:r>
        <w:t xml:space="preserve"> </w:t>
      </w:r>
      <w:r>
        <w:t xml:space="preserve">“Binary Data”</w:t>
      </w:r>
      <w:r>
        <w:t xml:space="preserve">, em Oracle torna-se</w:t>
      </w:r>
      <w:r>
        <w:t xml:space="preserve"> </w:t>
      </w:r>
      <w:r>
        <w:t xml:space="preserve">“BLOB”</w:t>
      </w:r>
      <w:r>
        <w:t xml:space="preserve">.</w:t>
      </w:r>
    </w:p>
    <w:bookmarkStart w:id="20" w:name="nfr"/>
    <w:p>
      <w:pPr>
        <w:pStyle w:val="Heading2"/>
      </w:pPr>
      <w:r>
        <w:t xml:space="preserve">NFR:</w:t>
      </w:r>
    </w:p>
    <w:p>
      <w:pPr>
        <w:pStyle w:val="Compact"/>
        <w:numPr>
          <w:ilvl w:val="0"/>
          <w:numId w:val="1002"/>
        </w:numPr>
      </w:pPr>
      <w:r>
        <w:t xml:space="preserve">Durability -&gt; Archivability</w:t>
      </w:r>
    </w:p>
    <w:bookmarkEnd w:id="20"/>
    <w:bookmarkStart w:id="21" w:name="scope"/>
    <w:p>
      <w:pPr>
        <w:pStyle w:val="Heading2"/>
      </w:pPr>
      <w:r>
        <w:t xml:space="preserve">SCOPE:</w:t>
      </w:r>
    </w:p>
    <w:p>
      <w:pPr>
        <w:pStyle w:val="Compact"/>
        <w:numPr>
          <w:ilvl w:val="0"/>
          <w:numId w:val="1003"/>
        </w:numPr>
      </w:pPr>
      <w:r>
        <w:t xml:space="preserve">Modelo de Dados</w:t>
      </w:r>
    </w:p>
    <w:p>
      <w:pPr>
        <w:pStyle w:val="Compact"/>
        <w:numPr>
          <w:ilvl w:val="0"/>
          <w:numId w:val="1003"/>
        </w:numPr>
      </w:pPr>
      <w:r>
        <w:t xml:space="preserve">Arquitetura de Referência</w:t>
      </w:r>
    </w:p>
    <w:bookmarkEnd w:id="21"/>
    <w:bookmarkStart w:id="24" w:name="orientação-técnica"/>
    <w:p>
      <w:pPr>
        <w:pStyle w:val="Heading2"/>
      </w:pPr>
      <w:r>
        <w:t xml:space="preserve">Orientação Técnica</w:t>
      </w:r>
    </w:p>
    <w:p>
      <w:pPr>
        <w:pStyle w:val="FirstParagraph"/>
      </w:pPr>
      <w:r>
        <w:t xml:space="preserve">Um BLOB pode constituir um dos seguintes componentes:</w:t>
      </w:r>
      <w:r>
        <w:t xml:space="preserve"> </w:t>
      </w:r>
      <w:r>
        <w:t xml:space="preserve">* Video (MP4, MOV)</w:t>
      </w:r>
      <w:r>
        <w:t xml:space="preserve"> </w:t>
      </w:r>
      <w:r>
        <w:t xml:space="preserve">* Audio (MP3)</w:t>
      </w:r>
      <w:r>
        <w:t xml:space="preserve"> </w:t>
      </w:r>
      <w:r>
        <w:t xml:space="preserve">* Imagens (JPG, PNG, PDF, RAW)</w:t>
      </w:r>
      <w:r>
        <w:t xml:space="preserve"> </w:t>
      </w:r>
      <w:r>
        <w:t xml:space="preserve">* Gráficos (GIF)</w:t>
      </w:r>
      <w:r>
        <w:t xml:space="preserve"> </w:t>
      </w:r>
      <w:r>
        <w:t xml:space="preserve">* …</w:t>
      </w:r>
    </w:p>
    <w:p>
      <w:pPr>
        <w:pStyle w:val="BodyText"/>
      </w:pPr>
      <w:r>
        <w:t xml:space="preserve">Este tipo de dado é categorizado pelo Data Type</w:t>
      </w:r>
      <w:r>
        <w:t xml:space="preserve"> </w:t>
      </w:r>
      <w:r>
        <w:t xml:space="preserve">“Binary Data”</w:t>
      </w:r>
      <w:r>
        <w:t xml:space="preserve"> </w:t>
      </w:r>
      <w:r>
        <w:t xml:space="preserve">em OutSystems.</w:t>
      </w:r>
    </w:p>
    <w:p>
      <w:pPr>
        <w:pStyle w:val="BodyText"/>
      </w:pPr>
      <w:r>
        <w:rPr>
          <w:b/>
          <w:bCs/>
          <w:i/>
          <w:iCs/>
        </w:rPr>
        <w:t xml:space="preserve">Dados Binários (BLOBs) não podem existir em tabelas da base de dados, por norma estes dados são armazenados no Arquivo Digital (ADG).</w:t>
      </w:r>
    </w:p>
    <w:p>
      <w:pPr>
        <w:pStyle w:val="BodyText"/>
      </w:pPr>
      <w:r>
        <w:t xml:space="preserve">Para mais informação sobre o AGD:</w:t>
      </w:r>
      <w:r>
        <w:t xml:space="preserve"> </w:t>
      </w:r>
      <w:hyperlink r:id="rId22">
        <w:r>
          <w:rPr>
            <w:rStyle w:val="Hyperlink"/>
          </w:rPr>
          <w:t xml:space="preserve">2.1 Arquivo Digital (ADG)</w:t>
        </w:r>
      </w:hyperlink>
    </w:p>
    <w:p>
      <w:pPr>
        <w:pStyle w:val="BodyText"/>
      </w:pPr>
      <w:r>
        <w:t xml:space="preserve">##Auditoria</w:t>
      </w:r>
    </w:p>
    <w:p>
      <w:pPr>
        <w:pStyle w:val="BodyText"/>
      </w:pPr>
      <w:r>
        <w:t xml:space="preserve">A auditoria será realizada por inspeção visual das tabelas com BLOBs nos seguintes momentos:</w:t>
      </w:r>
    </w:p>
    <w:p>
      <w:pPr>
        <w:pStyle w:val="BodyText"/>
      </w:pPr>
      <w:r>
        <w:t xml:space="preserve">Fase de Deployment - Revisão do Plano de Instalação;</w:t>
      </w:r>
      <w:r>
        <w:t xml:space="preserve"> </w:t>
      </w:r>
      <w:r>
        <w:t xml:space="preserve">Fase de Validação com FMT-IPV - Revisão de potenciais erros que a ferramenta encontre.</w:t>
      </w:r>
      <w:r>
        <w:t xml:space="preserve"> </w:t>
      </w:r>
      <w:r>
        <w:t xml:space="preserve">(Nota: FMT-IPV é uma ferramenta in-house, OutSystems-based, desenvolvida pela Graphite, que efetua as validações de alterações nas subidas, incluindo, para esta guideline, nos CLOBS das tabelas de extensão afetadas da base de dados)</w:t>
      </w:r>
    </w:p>
    <w:bookmarkStart w:id="23" w:name="verificação"/>
    <w:p>
      <w:pPr>
        <w:pStyle w:val="Heading3"/>
      </w:pPr>
      <w:r>
        <w:t xml:space="preserve">Verificação</w:t>
      </w:r>
    </w:p>
    <w:p>
      <w:pPr>
        <w:pStyle w:val="Compact"/>
        <w:numPr>
          <w:ilvl w:val="0"/>
          <w:numId w:val="1004"/>
        </w:numPr>
      </w:pPr>
      <w:r>
        <w:t xml:space="preserve">Fase de Deployment - Revisão do</w:t>
      </w:r>
      <w:r>
        <w:t xml:space="preserve"> </w:t>
      </w:r>
      <w:r>
        <w:rPr>
          <w:b/>
          <w:bCs/>
        </w:rPr>
        <w:t xml:space="preserve">Plano de Instalação</w:t>
      </w:r>
    </w:p>
    <w:p>
      <w:pPr>
        <w:pStyle w:val="Compact"/>
        <w:numPr>
          <w:ilvl w:val="1"/>
          <w:numId w:val="1005"/>
        </w:numPr>
      </w:pPr>
      <w:r>
        <w:t xml:space="preserve">Pré-requisitos para Instalação.</w:t>
      </w:r>
    </w:p>
    <w:p>
      <w:pPr>
        <w:pStyle w:val="Compact"/>
        <w:numPr>
          <w:ilvl w:val="0"/>
          <w:numId w:val="1006"/>
        </w:numPr>
      </w:pPr>
      <w:r>
        <w:t xml:space="preserve">Fase de Validação com</w:t>
      </w:r>
      <w:r>
        <w:t xml:space="preserve"> </w:t>
      </w:r>
      <w:r>
        <w:rPr>
          <w:b/>
          <w:bCs/>
        </w:rPr>
        <w:t xml:space="preserve">FMT-IPV</w:t>
      </w:r>
    </w:p>
    <w:p>
      <w:pPr>
        <w:pStyle w:val="Compact"/>
        <w:numPr>
          <w:ilvl w:val="1"/>
          <w:numId w:val="1007"/>
        </w:numPr>
      </w:pPr>
      <w:r>
        <w:t xml:space="preserve">Comparação de PRE com PRD;</w:t>
      </w:r>
    </w:p>
    <w:p>
      <w:pPr>
        <w:pStyle w:val="Compact"/>
        <w:numPr>
          <w:ilvl w:val="1"/>
          <w:numId w:val="1007"/>
        </w:numPr>
      </w:pPr>
      <w:r>
        <w:t xml:space="preserve">Se for em ambientes antes de PRE/PRD, tem que se abrir não conformidade no Hall of Fame caso o schema não esteja associado. Tem que se validar (2 momentos que o Hall of Fame valida: QA e PRD);</w:t>
      </w:r>
    </w:p>
    <w:p>
      <w:pPr>
        <w:pStyle w:val="Compact"/>
        <w:numPr>
          <w:ilvl w:val="1"/>
          <w:numId w:val="1007"/>
        </w:numPr>
      </w:pPr>
      <w:r>
        <w:t xml:space="preserve">Verificação da identificação de novos CLOBs nas tabelas de extensão do schema associado à sua equipa.</w:t>
      </w:r>
    </w:p>
    <w:bookmarkEnd w:id="23"/>
    <w:bookmarkEnd w:id="24"/>
    <w:bookmarkStart w:id="25" w:name="monitorização-automáticomanual"/>
    <w:p>
      <w:pPr>
        <w:pStyle w:val="Heading2"/>
      </w:pPr>
      <w:r>
        <w:t xml:space="preserve">Monitorização Automático/Manual</w:t>
      </w:r>
    </w:p>
    <w:p>
      <w:pPr>
        <w:pStyle w:val="Compact"/>
        <w:numPr>
          <w:ilvl w:val="0"/>
          <w:numId w:val="1008"/>
        </w:numPr>
      </w:pPr>
      <w:r>
        <w:t xml:space="preserve">https://devweb.hluz.ess.local/HOF/Listagem.aspx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1"/>
  </w:num>
  <w:num w:numId="1006">
    <w:abstractNumId w:val="992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ev.azure.com/DSTILuzSaude/LS.DSTI.SWF.ARCH/_wiki/wikis/LS.DSTI.SWF.Wiki.wiki/1009/2.1-Arquivo-Digital-(ADG)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ev.azure.com/DSTILuzSaude/LS.DSTI.SWF.ARCH/_wiki/wikis/LS.DSTI.SWF.Wiki.wiki/1009/2.1-Arquivo-Digital-(ADG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5.2.6 Binários nas Tabelas (BLOBs)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/>
  </property>
</Properties>
</file>