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2.6 XF%2DPUBSUB Server</w:t>
      </w:r>
    </w:p>
    <w:bookmarkStart w:id="36" w:name="pubsub"/>
    <w:p>
      <w:pPr>
        <w:pStyle w:val="Heading1"/>
      </w:pPr>
      <w:r>
        <w:t xml:space="preserve">PubSub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PubSub</w:t>
      </w:r>
      <w:r>
        <w:t xml:space="preserve"> </w:t>
      </w:r>
      <w:r>
        <w:t xml:space="preserve">é uma solução para publicação e consumo de mensagens num modelo-padrão</w:t>
      </w:r>
      <w:r>
        <w:t xml:space="preserve"> </w:t>
      </w:r>
      <w:r>
        <w:rPr>
          <w:i/>
          <w:iCs/>
        </w:rPr>
        <w:t xml:space="preserve">publish-subscribe</w:t>
      </w:r>
      <w:r>
        <w:t xml:space="preserve">, abstraindo diversas tecnologias sob uma API comum e transparente para as aplicações.</w:t>
      </w:r>
    </w:p>
    <w:p>
      <w:pPr>
        <w:pStyle w:val="BodyText"/>
      </w:pPr>
      <w:r>
        <w:t xml:space="preserve">Esta solução dota as aplicações do universo Luz Saúde de um registo centralizado e governável de tópicos, publicadores, subscritores e subscrições de mensagens aplicacionais.</w:t>
      </w:r>
    </w:p>
    <w:p>
      <w:pPr>
        <w:pStyle w:val="BodyText"/>
      </w:pPr>
      <w:r>
        <w:rPr>
          <w:i/>
          <w:iCs/>
        </w:rPr>
        <w:t xml:space="preserve">TOC</w:t>
      </w:r>
    </w:p>
    <w:bookmarkStart w:id="24" w:name="introdução"/>
    <w:p>
      <w:pPr>
        <w:pStyle w:val="Heading2"/>
      </w:pPr>
      <w:r>
        <w:t xml:space="preserve">Introdução</w:t>
      </w:r>
    </w:p>
    <w:bookmarkStart w:id="20" w:name="vantagens"/>
    <w:p>
      <w:pPr>
        <w:pStyle w:val="Heading3"/>
      </w:pPr>
      <w:r>
        <w:t xml:space="preserve">Vantagens</w:t>
      </w:r>
    </w:p>
    <w:p>
      <w:pPr>
        <w:pStyle w:val="FirstParagraph"/>
      </w:pPr>
      <w:r>
        <w:t xml:space="preserve">O padrão</w:t>
      </w:r>
      <w:r>
        <w:t xml:space="preserve"> </w:t>
      </w:r>
      <w:r>
        <w:rPr>
          <w:i/>
          <w:iCs/>
        </w:rPr>
        <w:t xml:space="preserve">publish-subscribe</w:t>
      </w:r>
      <w:r>
        <w:t xml:space="preserve"> </w:t>
      </w:r>
      <w:r>
        <w:t xml:space="preserve">confere várias vantagens aos adotantes, incluindo: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Separação de subsistemas de comunicação</w:t>
      </w:r>
      <w:r>
        <w:t xml:space="preserve">. Subsistemas podem ser geridos independentemente e mensagens pode ser geridas mesmo que um dos destinatários esteja offline.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Escalabilidade e responsividade do remetente</w:t>
      </w:r>
      <w:r>
        <w:t xml:space="preserve">. O remetente pode rapidamente publicar uma mensagem num canal e retomar as suas responsabilidades, alheado do processo de entrega. A infraestrutura garante que as mensagens são entregues aos subscritores interessados.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Fiabilidade</w:t>
      </w:r>
      <w:r>
        <w:t xml:space="preserve">. Os processos assíncronos de comunicação ajudam as aplicações a correr bem sob carga e a lidar com falhas intermitentes mais eficazmente.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Processamento adiado ou calendarizado</w:t>
      </w:r>
      <w:r>
        <w:t xml:space="preserve">. Os remetentes podem ler mensagens apenas em horas pré-definidas ou de menor carga.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Simplicidade</w:t>
      </w:r>
      <w:r>
        <w:t xml:space="preserve">. O padrão facilita a implementação e gestão de processos assíncronos de negócio, que podem envolver diferentes sistemas, aplicações, linguagens de programação, protocolos,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Testabilidade</w:t>
      </w:r>
      <w:r>
        <w:t xml:space="preserve">. Os canais podem ser monitorizados e as mensagens inspecionadas ou registadas como parte de uma estratégia de integração.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Separação aplicacional de conceitos</w:t>
      </w:r>
      <w:r>
        <w:t xml:space="preserve">. As aplicações podem focar-se nas suas capacidades principais, confiando que a infraestrutura de comunicação faça a gestão da entrega aos consumidores.</w:t>
      </w:r>
    </w:p>
    <w:bookmarkEnd w:id="20"/>
    <w:bookmarkStart w:id="21" w:name="conceitos"/>
    <w:p>
      <w:pPr>
        <w:pStyle w:val="Heading3"/>
      </w:pPr>
      <w:r>
        <w:t xml:space="preserve">Conceitos</w:t>
      </w:r>
    </w:p>
    <w:p>
      <w:pPr>
        <w:pStyle w:val="FirstParagraph"/>
      </w:pPr>
      <w:r>
        <w:t xml:space="preserve">Convém, antes de se utilizar o</w:t>
      </w:r>
      <w:r>
        <w:t xml:space="preserve"> </w:t>
      </w:r>
      <w:r>
        <w:rPr>
          <w:b/>
          <w:bCs/>
        </w:rPr>
        <w:t xml:space="preserve">PubSub</w:t>
      </w:r>
      <w:r>
        <w:t xml:space="preserve">, conhecer o conjunto de principais conceitos de que se vale, nomeadamente: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Mensagem</w:t>
      </w:r>
      <w:r>
        <w:t xml:space="preserve">: uma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é um conjunto de dados de comunicação a ser enviado por um</w:t>
      </w:r>
      <w:r>
        <w:t xml:space="preserve"> </w:t>
      </w:r>
      <w:r>
        <w:rPr>
          <w:b/>
          <w:bCs/>
        </w:rPr>
        <w:t xml:space="preserve">Publicador</w:t>
      </w:r>
      <w:r>
        <w:t xml:space="preserve"> </w:t>
      </w:r>
      <w:r>
        <w:t xml:space="preserve">para leitura de zero ou mais</w:t>
      </w:r>
      <w:r>
        <w:t xml:space="preserve"> </w:t>
      </w:r>
      <w:r>
        <w:rPr>
          <w:b/>
          <w:bCs/>
        </w:rPr>
        <w:t xml:space="preserve">Subscritores</w:t>
      </w:r>
      <w:r>
        <w:t xml:space="preserve">. Uma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pode conter texto ou objetos complexos, tais como imagens, vídeo e outros conteúdos digitais.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Tópico</w:t>
      </w:r>
      <w:r>
        <w:t xml:space="preserve">: uma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é sempre associada a um</w:t>
      </w:r>
      <w:r>
        <w:t xml:space="preserve"> </w:t>
      </w:r>
      <w:r>
        <w:rPr>
          <w:b/>
          <w:bCs/>
        </w:rPr>
        <w:t xml:space="preserve">Tópico</w:t>
      </w:r>
      <w:r>
        <w:t xml:space="preserve">. O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é um canal classificador de comunicação para envio de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Publicadores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Subscritores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Subscritor</w:t>
      </w:r>
      <w:r>
        <w:t xml:space="preserve">: um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é um destinatário de</w:t>
      </w:r>
      <w:r>
        <w:t xml:space="preserve"> </w:t>
      </w:r>
      <w:r>
        <w:rPr>
          <w:b/>
          <w:bCs/>
        </w:rPr>
        <w:t xml:space="preserve">Mensagens</w:t>
      </w:r>
      <w:r>
        <w:t xml:space="preserve">. O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tem um registo (ou</w:t>
      </w:r>
      <w:r>
        <w:t xml:space="preserve"> </w:t>
      </w:r>
      <w:r>
        <w:rPr>
          <w:b/>
          <w:bCs/>
        </w:rPr>
        <w:t xml:space="preserve">Subscrições</w:t>
      </w:r>
      <w:r>
        <w:t xml:space="preserve">) de</w:t>
      </w:r>
      <w:r>
        <w:t xml:space="preserve"> </w:t>
      </w:r>
      <w:r>
        <w:rPr>
          <w:b/>
          <w:bCs/>
        </w:rPr>
        <w:t xml:space="preserve">Tópicos</w:t>
      </w:r>
      <w:r>
        <w:t xml:space="preserve"> </w:t>
      </w:r>
      <w:r>
        <w:t xml:space="preserve">de seu interesse, recebendo e processando as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neles publicadas por</w:t>
      </w:r>
      <w:r>
        <w:t xml:space="preserve"> </w:t>
      </w:r>
      <w:r>
        <w:rPr>
          <w:b/>
          <w:bCs/>
        </w:rPr>
        <w:t xml:space="preserve">Publicadores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Publicador</w:t>
      </w:r>
      <w:r>
        <w:t xml:space="preserve">: um</w:t>
      </w:r>
      <w:r>
        <w:t xml:space="preserve"> </w:t>
      </w:r>
      <w:r>
        <w:rPr>
          <w:b/>
          <w:bCs/>
        </w:rPr>
        <w:t xml:space="preserve">Publicador</w:t>
      </w:r>
      <w:r>
        <w:t xml:space="preserve"> </w:t>
      </w:r>
      <w:r>
        <w:t xml:space="preserve">é um remetente de</w:t>
      </w:r>
      <w:r>
        <w:t xml:space="preserve"> </w:t>
      </w:r>
      <w:r>
        <w:rPr>
          <w:b/>
          <w:bCs/>
        </w:rPr>
        <w:t xml:space="preserve">Mensagens</w:t>
      </w:r>
      <w:r>
        <w:t xml:space="preserve">. Pode criar e publicar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num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para as remeter a todos os</w:t>
      </w:r>
      <w:r>
        <w:t xml:space="preserve"> </w:t>
      </w:r>
      <w:r>
        <w:rPr>
          <w:b/>
          <w:bCs/>
        </w:rPr>
        <w:t xml:space="preserve">Subscritores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Tópico</w:t>
      </w:r>
      <w:r>
        <w:t xml:space="preserve">, não devendo ter preocupação e visibilidade do número ou identidade dos</w:t>
      </w:r>
      <w:r>
        <w:t xml:space="preserve"> </w:t>
      </w:r>
      <w:r>
        <w:rPr>
          <w:b/>
          <w:bCs/>
        </w:rPr>
        <w:t xml:space="preserve">Subscritores</w:t>
      </w:r>
      <w:r>
        <w:t xml:space="preserve"> </w:t>
      </w:r>
      <w:r>
        <w:t xml:space="preserve">dos</w:t>
      </w:r>
      <w:r>
        <w:t xml:space="preserve"> </w:t>
      </w:r>
      <w:r>
        <w:rPr>
          <w:b/>
          <w:bCs/>
        </w:rPr>
        <w:t xml:space="preserve">Tópicos</w:t>
      </w:r>
      <w:r>
        <w:t xml:space="preserve"> </w:t>
      </w:r>
      <w:r>
        <w:t xml:space="preserve">onde publica (política</w:t>
      </w:r>
      <w:r>
        <w:t xml:space="preserve"> </w:t>
      </w:r>
      <w:r>
        <w:rPr>
          <w:i/>
          <w:iCs/>
        </w:rPr>
        <w:t xml:space="preserve">fire-and-forget</w:t>
      </w:r>
      <w:r>
        <w:t xml:space="preserve">).</w:t>
      </w:r>
    </w:p>
    <w:bookmarkEnd w:id="21"/>
    <w:bookmarkStart w:id="22" w:name="tecnologias-suportadas"/>
    <w:p>
      <w:pPr>
        <w:pStyle w:val="Heading3"/>
      </w:pPr>
      <w:r>
        <w:t xml:space="preserve">Tecnologias suportadas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PubSub</w:t>
      </w:r>
      <w:r>
        <w:t xml:space="preserve"> </w:t>
      </w:r>
      <w:r>
        <w:t xml:space="preserve">é uma camada de abstração de várias tecnologias que suportam a implementação de processos de comunicação em modelo</w:t>
      </w:r>
      <w:r>
        <w:t xml:space="preserve"> </w:t>
      </w:r>
      <w:r>
        <w:rPr>
          <w:i/>
          <w:iCs/>
        </w:rPr>
        <w:t xml:space="preserve">publish-subscribe</w:t>
      </w:r>
      <w:r>
        <w:t xml:space="preserve">. Cada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funciona sob a tecnologia que se pretender, tendo cada uma algumas características e limitações específicas. À data, as tecnologias implementadas são: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Oracle Advanced Queuing</w:t>
      </w:r>
      <w:r>
        <w:t xml:space="preserve"> </w:t>
      </w:r>
      <w:r>
        <w:t xml:space="preserve">(</w:t>
      </w:r>
      <w:r>
        <w:rPr>
          <w:b/>
          <w:bCs/>
        </w:rPr>
        <w:t xml:space="preserve">AQ</w:t>
      </w:r>
      <w:r>
        <w:t xml:space="preserve">): solução de filas de mensagens construída sobre a stack tecnológica Oracle. Integra as tecnologias Oracle Streams e Oracle Database, auferindo a escalabilidade e robustez de ambas.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Azure Event Hubs for Apache Kafka</w:t>
      </w:r>
      <w:r>
        <w:t xml:space="preserve">: solução em cloud para processamento de streams, pipelines de dados em tempo-real e integração de dados em escala, que fornece uma API compatível com o protocolo da tecnologia de código-aberto Apache Kafka.</w:t>
      </w:r>
      <w:r>
        <w:t xml:space="preserve"> </w:t>
      </w:r>
      <w:r>
        <w:rPr>
          <w:b/>
          <w:bCs/>
        </w:rPr>
        <w:t xml:space="preserve">Não está ainda aprovisionado na infraestrutura Luz Saúde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Mirth Connect</w:t>
      </w:r>
      <w:r>
        <w:t xml:space="preserve">: solução, sobretudo utilizada na indústria da saúde, para a gestão de troca de informação entre diferentes sistemas através de mensagens.</w:t>
      </w:r>
    </w:p>
    <w:bookmarkEnd w:id="22"/>
    <w:bookmarkStart w:id="23" w:name="modelos-de-subscrição"/>
    <w:p>
      <w:pPr>
        <w:pStyle w:val="Heading3"/>
      </w:pPr>
      <w:r>
        <w:t xml:space="preserve">Modelos de subscrição</w:t>
      </w:r>
    </w:p>
    <w:p>
      <w:pPr>
        <w:pStyle w:val="FirstParagraph"/>
      </w:pPr>
      <w:r>
        <w:t xml:space="preserve">O PubSub suporta vários modelos de subscrição, isto é, várias formas de entregar ou notificar os</w:t>
      </w:r>
      <w:r>
        <w:t xml:space="preserve"> </w:t>
      </w:r>
      <w:r>
        <w:rPr>
          <w:b/>
          <w:bCs/>
        </w:rPr>
        <w:t xml:space="preserve">Subscritores</w:t>
      </w:r>
      <w:r>
        <w:t xml:space="preserve"> </w:t>
      </w:r>
      <w:r>
        <w:t xml:space="preserve">quando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dos</w:t>
      </w:r>
      <w:r>
        <w:t xml:space="preserve"> </w:t>
      </w:r>
      <w:r>
        <w:rPr>
          <w:b/>
          <w:bCs/>
        </w:rPr>
        <w:t xml:space="preserve">Tópicos</w:t>
      </w:r>
      <w:r>
        <w:t xml:space="preserve"> </w:t>
      </w:r>
      <w:r>
        <w:t xml:space="preserve">que subscrevem são publicadas. Uma tecnologia específica pode suportar apenas um subconjunto de modelos de subscrição. São os seguintes: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None</w:t>
      </w:r>
      <w:r>
        <w:t xml:space="preserve">: o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tem a responsabilidade de ter a iniciativa de consultar se existem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para receber e processá-las de acordo com a periodicidade que pretenda.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Timer</w:t>
      </w:r>
      <w:r>
        <w:t xml:space="preserve">: o</w:t>
      </w:r>
      <w:r>
        <w:t xml:space="preserve"> </w:t>
      </w:r>
      <w:r>
        <w:rPr>
          <w:b/>
          <w:bCs/>
        </w:rPr>
        <w:t xml:space="preserve">PubSub</w:t>
      </w:r>
      <w:r>
        <w:t xml:space="preserve">, aquando publicação de uma mensagem, faz</w:t>
      </w:r>
      <w:r>
        <w:t xml:space="preserve"> </w:t>
      </w:r>
      <w:r>
        <w:rPr>
          <w:i/>
          <w:iCs/>
        </w:rPr>
        <w:t xml:space="preserve">awake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Timer</w:t>
      </w:r>
      <w:r>
        <w:t xml:space="preserve"> </w:t>
      </w:r>
      <w:r>
        <w:t xml:space="preserve">de OutSystems que estiver configurado na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pelo</w:t>
      </w:r>
      <w:r>
        <w:t xml:space="preserve"> </w:t>
      </w:r>
      <w:r>
        <w:rPr>
          <w:b/>
          <w:bCs/>
        </w:rPr>
        <w:t xml:space="preserve">Subscritor</w:t>
      </w:r>
      <w:r>
        <w:t xml:space="preserve">, que assim pode obter as suas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ou fazer qualquer outro tipo de processamento necessário.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Dispatcher</w:t>
      </w:r>
      <w:r>
        <w:t xml:space="preserve">: o</w:t>
      </w:r>
      <w:r>
        <w:t xml:space="preserve"> </w:t>
      </w:r>
      <w:r>
        <w:rPr>
          <w:b/>
          <w:bCs/>
        </w:rPr>
        <w:t xml:space="preserve">PubSub</w:t>
      </w:r>
      <w:r>
        <w:t xml:space="preserve">, aquando criação do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aprovisiona-o na tecnologia de</w:t>
      </w:r>
      <w:r>
        <w:t xml:space="preserve"> </w:t>
      </w:r>
      <w:r>
        <w:rPr>
          <w:i/>
          <w:iCs/>
        </w:rPr>
        <w:t xml:space="preserve">Dispatcher</w:t>
      </w:r>
      <w:r>
        <w:t xml:space="preserve">, confiando-lhe a responsabilidade de por cada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publicada chamar os serviços REST dos</w:t>
      </w:r>
      <w:r>
        <w:t xml:space="preserve"> </w:t>
      </w:r>
      <w:r>
        <w:rPr>
          <w:b/>
          <w:bCs/>
        </w:rPr>
        <w:t xml:space="preserve">Subscritores</w:t>
      </w:r>
      <w:r>
        <w:t xml:space="preserve"> </w:t>
      </w:r>
      <w:r>
        <w:t xml:space="preserve">registados em cada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, assim entregando diretamente as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publicadas.</w:t>
      </w:r>
    </w:p>
    <w:bookmarkEnd w:id="23"/>
    <w:bookmarkEnd w:id="24"/>
    <w:bookmarkStart w:id="29" w:name="como-funciona"/>
    <w:p>
      <w:pPr>
        <w:pStyle w:val="Heading2"/>
      </w:pPr>
      <w:r>
        <w:t xml:space="preserve">Como funciona?</w:t>
      </w:r>
    </w:p>
    <w:bookmarkStart w:id="25" w:name="no-geral"/>
    <w:p>
      <w:pPr>
        <w:pStyle w:val="Heading3"/>
      </w:pPr>
      <w:r>
        <w:t xml:space="preserve">No geral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Quando uma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(de conteúdo livre) é publicada num</w:t>
      </w:r>
      <w:r>
        <w:t xml:space="preserve"> </w:t>
      </w:r>
      <w:r>
        <w:rPr>
          <w:b/>
          <w:bCs/>
        </w:rPr>
        <w:t xml:space="preserve">Tópico</w:t>
      </w:r>
      <w:r>
        <w:t xml:space="preserve">, todos os</w:t>
      </w:r>
      <w:r>
        <w:t xml:space="preserve"> </w:t>
      </w:r>
      <w:r>
        <w:rPr>
          <w:b/>
          <w:bCs/>
        </w:rPr>
        <w:t xml:space="preserve">Subscritores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configurado à data da publicação poderão consumi-la e processá-la independentemente uns dos outros. A forma como 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será consumida pelos</w:t>
      </w:r>
      <w:r>
        <w:t xml:space="preserve"> </w:t>
      </w:r>
      <w:r>
        <w:rPr>
          <w:b/>
          <w:bCs/>
        </w:rPr>
        <w:t xml:space="preserve">Subscritores</w:t>
      </w:r>
      <w:r>
        <w:t xml:space="preserve"> </w:t>
      </w:r>
      <w:r>
        <w:t xml:space="preserve">dependerá das configurações individuais das respetivas</w:t>
      </w:r>
      <w:r>
        <w:t xml:space="preserve"> </w:t>
      </w:r>
      <w:r>
        <w:rPr>
          <w:b/>
          <w:bCs/>
        </w:rPr>
        <w:t xml:space="preserve">Subscrições</w:t>
      </w:r>
      <w:r>
        <w:t xml:space="preserve">, nomeadamente do tipo de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.</w:t>
      </w:r>
    </w:p>
    <w:bookmarkEnd w:id="25"/>
    <w:bookmarkStart w:id="26" w:name="subscrição-none"/>
    <w:p>
      <w:pPr>
        <w:pStyle w:val="Heading3"/>
      </w:pPr>
      <w:r>
        <w:t xml:space="preserve">Subscrição</w:t>
      </w:r>
      <w:r>
        <w:t xml:space="preserve"> </w:t>
      </w:r>
      <w:r>
        <w:t xml:space="preserve">‘</w:t>
      </w:r>
      <w:r>
        <w:rPr>
          <w:b/>
          <w:bCs/>
        </w:rPr>
        <w:t xml:space="preserve">None</w:t>
      </w:r>
      <w:r>
        <w:t xml:space="preserve">’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Se uma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for do tipo</w:t>
      </w:r>
      <w:r>
        <w:t xml:space="preserve"> </w:t>
      </w:r>
      <w:r>
        <w:rPr>
          <w:b/>
          <w:bCs/>
          <w:i/>
          <w:iCs/>
        </w:rPr>
        <w:t xml:space="preserve">None</w:t>
      </w:r>
      <w:r>
        <w:t xml:space="preserve">, o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terá de periodicamente fazer</w:t>
      </w:r>
      <w:r>
        <w:t xml:space="preserve"> </w:t>
      </w:r>
      <w:r>
        <w:rPr>
          <w:i/>
          <w:iCs/>
        </w:rPr>
        <w:t xml:space="preserve">polling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PubSub API</w:t>
      </w:r>
      <w:r>
        <w:t xml:space="preserve"> </w:t>
      </w:r>
      <w:r>
        <w:t xml:space="preserve">para buscar novas mensagens. Uma vez processadas, as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deverão ser marcadas como consumidas também via</w:t>
      </w:r>
      <w:r>
        <w:t xml:space="preserve"> </w:t>
      </w:r>
      <w:r>
        <w:rPr>
          <w:b/>
          <w:bCs/>
        </w:rPr>
        <w:t xml:space="preserve">PubSub API</w:t>
      </w:r>
      <w:r>
        <w:t xml:space="preserve">, de forma a serem retiradas da pilha individual de mensagens do</w:t>
      </w:r>
      <w:r>
        <w:t xml:space="preserve"> </w:t>
      </w:r>
      <w:r>
        <w:rPr>
          <w:b/>
          <w:bCs/>
        </w:rPr>
        <w:t xml:space="preserve">Subscritor</w:t>
      </w:r>
      <w:r>
        <w:t xml:space="preserve">. O tipo</w:t>
      </w:r>
      <w:r>
        <w:t xml:space="preserve"> </w:t>
      </w:r>
      <w:r>
        <w:rPr>
          <w:b/>
          <w:bCs/>
          <w:i/>
          <w:iCs/>
        </w:rPr>
        <w:t xml:space="preserve">None</w:t>
      </w:r>
      <w:r>
        <w:t xml:space="preserve"> </w:t>
      </w:r>
      <w:r>
        <w:t xml:space="preserve">é apenas suportado pela tecnologia</w:t>
      </w:r>
      <w:r>
        <w:t xml:space="preserve"> </w:t>
      </w:r>
      <w:r>
        <w:rPr>
          <w:b/>
          <w:bCs/>
        </w:rPr>
        <w:t xml:space="preserve">Oracle AQ</w:t>
      </w:r>
      <w:r>
        <w:t xml:space="preserve">.</w:t>
      </w:r>
    </w:p>
    <w:bookmarkEnd w:id="26"/>
    <w:bookmarkStart w:id="27" w:name="subscrição-timer"/>
    <w:p>
      <w:pPr>
        <w:pStyle w:val="Heading3"/>
      </w:pPr>
      <w:r>
        <w:t xml:space="preserve">Subscrição</w:t>
      </w:r>
      <w:r>
        <w:t xml:space="preserve"> </w:t>
      </w:r>
      <w:r>
        <w:t xml:space="preserve">‘</w:t>
      </w:r>
      <w:r>
        <w:rPr>
          <w:b/>
          <w:bCs/>
        </w:rPr>
        <w:t xml:space="preserve">Timer</w:t>
      </w:r>
      <w:r>
        <w:t xml:space="preserve">’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Se uma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for do tipo</w:t>
      </w:r>
      <w:r>
        <w:t xml:space="preserve"> </w:t>
      </w:r>
      <w:r>
        <w:rPr>
          <w:b/>
          <w:bCs/>
          <w:i/>
          <w:iCs/>
        </w:rPr>
        <w:t xml:space="preserve">Timer</w:t>
      </w:r>
      <w:r>
        <w:t xml:space="preserve">, o processo de consumo será semelhante ao do tipo</w:t>
      </w:r>
      <w:r>
        <w:t xml:space="preserve"> </w:t>
      </w:r>
      <w:r>
        <w:rPr>
          <w:b/>
          <w:bCs/>
          <w:i/>
          <w:iCs/>
        </w:rPr>
        <w:t xml:space="preserve">None</w:t>
      </w:r>
      <w:r>
        <w:t xml:space="preserve">, distinguindo-se apenas no facto de que sempre que uma mensagem for publicada um</w:t>
      </w:r>
      <w:r>
        <w:t xml:space="preserve"> </w:t>
      </w:r>
      <w:r>
        <w:rPr>
          <w:b/>
          <w:bCs/>
        </w:rPr>
        <w:t xml:space="preserve">Timer</w:t>
      </w:r>
      <w:r>
        <w:t xml:space="preserve"> </w:t>
      </w:r>
      <w:r>
        <w:t xml:space="preserve">de OutSystems será</w:t>
      </w:r>
      <w:r>
        <w:t xml:space="preserve"> </w:t>
      </w:r>
      <w:r>
        <w:rPr>
          <w:i/>
          <w:iCs/>
        </w:rPr>
        <w:t xml:space="preserve">awaken</w:t>
      </w:r>
      <w:r>
        <w:t xml:space="preserve">. Este</w:t>
      </w:r>
      <w:r>
        <w:t xml:space="preserve"> </w:t>
      </w:r>
      <w:r>
        <w:rPr>
          <w:b/>
          <w:bCs/>
        </w:rPr>
        <w:t xml:space="preserve">Timer</w:t>
      </w:r>
      <w:r>
        <w:t xml:space="preserve"> </w:t>
      </w:r>
      <w:r>
        <w:t xml:space="preserve">poderá, por exemplo, despoletar um processo de consumo de mensagens. O tipo</w:t>
      </w:r>
      <w:r>
        <w:t xml:space="preserve"> </w:t>
      </w:r>
      <w:r>
        <w:rPr>
          <w:b/>
          <w:bCs/>
          <w:i/>
          <w:iCs/>
        </w:rPr>
        <w:t xml:space="preserve">Timer</w:t>
      </w:r>
      <w:r>
        <w:t xml:space="preserve"> </w:t>
      </w:r>
      <w:r>
        <w:t xml:space="preserve">é apenas suportado pela tecnologia</w:t>
      </w:r>
      <w:r>
        <w:t xml:space="preserve"> </w:t>
      </w:r>
      <w:r>
        <w:rPr>
          <w:b/>
          <w:bCs/>
        </w:rPr>
        <w:t xml:space="preserve">Oracle AQ</w:t>
      </w:r>
      <w:r>
        <w:t xml:space="preserve">.</w:t>
      </w:r>
    </w:p>
    <w:bookmarkEnd w:id="27"/>
    <w:bookmarkStart w:id="28" w:name="subscrição-dispatcher"/>
    <w:p>
      <w:pPr>
        <w:pStyle w:val="Heading3"/>
      </w:pPr>
      <w:r>
        <w:t xml:space="preserve">Subscrição</w:t>
      </w:r>
      <w:r>
        <w:t xml:space="preserve"> </w:t>
      </w:r>
      <w:r>
        <w:t xml:space="preserve">‘</w:t>
      </w:r>
      <w:r>
        <w:rPr>
          <w:b/>
          <w:bCs/>
        </w:rPr>
        <w:t xml:space="preserve">Dispatcher</w:t>
      </w:r>
      <w:r>
        <w:t xml:space="preserve">’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Se uma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for do tipo</w:t>
      </w:r>
      <w:r>
        <w:t xml:space="preserve"> </w:t>
      </w:r>
      <w:r>
        <w:rPr>
          <w:b/>
          <w:bCs/>
          <w:i/>
          <w:iCs/>
        </w:rPr>
        <w:t xml:space="preserve">Dispatcher</w:t>
      </w:r>
      <w:r>
        <w:t xml:space="preserve">, o processo de entrega de mensagens fica exclusivamente a cargo da tecnologia adjacente, ou seja, o</w:t>
      </w:r>
      <w:r>
        <w:t xml:space="preserve"> </w:t>
      </w:r>
      <w:r>
        <w:rPr>
          <w:b/>
          <w:bCs/>
        </w:rPr>
        <w:t xml:space="preserve">PubSub</w:t>
      </w:r>
      <w:r>
        <w:t xml:space="preserve"> </w:t>
      </w:r>
      <w:r>
        <w:t xml:space="preserve">fica responsável por entregar a mensagem a uma</w:t>
      </w:r>
      <w:r>
        <w:t xml:space="preserve"> </w:t>
      </w:r>
      <w:r>
        <w:rPr>
          <w:b/>
          <w:bCs/>
        </w:rPr>
        <w:t xml:space="preserve">API REST</w:t>
      </w:r>
      <w:r>
        <w:t xml:space="preserve"> </w:t>
      </w:r>
      <w:r>
        <w:t xml:space="preserve">exposta pelo</w:t>
      </w:r>
      <w:r>
        <w:t xml:space="preserve"> </w:t>
      </w:r>
      <w:r>
        <w:rPr>
          <w:b/>
          <w:bCs/>
        </w:rPr>
        <w:t xml:space="preserve">Subscritor</w:t>
      </w:r>
      <w:r>
        <w:t xml:space="preserve">. As mensagens serão entregues pela ordem de publicação. O tipo</w:t>
      </w:r>
      <w:r>
        <w:t xml:space="preserve"> </w:t>
      </w:r>
      <w:r>
        <w:rPr>
          <w:b/>
          <w:bCs/>
          <w:i/>
          <w:iCs/>
        </w:rPr>
        <w:t xml:space="preserve">Dispatcher</w:t>
      </w:r>
      <w:r>
        <w:t xml:space="preserve"> </w:t>
      </w:r>
      <w:r>
        <w:t xml:space="preserve">é apenas suportado pelas tecnologias</w:t>
      </w:r>
      <w:r>
        <w:t xml:space="preserve"> </w:t>
      </w:r>
      <w:r>
        <w:rPr>
          <w:b/>
          <w:bCs/>
        </w:rPr>
        <w:t xml:space="preserve">Mirth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Mirth Oracle AQ</w:t>
      </w:r>
      <w:r>
        <w:t xml:space="preserve">. No caso do tipo de tecnologia</w:t>
      </w:r>
      <w:r>
        <w:t xml:space="preserve"> </w:t>
      </w:r>
      <w:r>
        <w:rPr>
          <w:b/>
          <w:bCs/>
        </w:rPr>
        <w:t xml:space="preserve">Mirth</w:t>
      </w:r>
      <w:r>
        <w:t xml:space="preserve">, o aprovisionamento de mensagens é feito exclusivamente sob o software</w:t>
      </w:r>
      <w:r>
        <w:t xml:space="preserve"> </w:t>
      </w:r>
      <w:r>
        <w:rPr>
          <w:b/>
          <w:bCs/>
        </w:rPr>
        <w:t xml:space="preserve">Mirth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Client API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Se uma Subscrição for do tipo</w:t>
      </w:r>
      <w:r>
        <w:t xml:space="preserve"> </w:t>
      </w:r>
      <w:r>
        <w:rPr>
          <w:b/>
          <w:bCs/>
          <w:i/>
          <w:iCs/>
        </w:rPr>
        <w:t xml:space="preserve">Dispatcher</w:t>
      </w:r>
      <w:r>
        <w:t xml:space="preserve">, no caso da tecnologia</w:t>
      </w:r>
      <w:r>
        <w:t xml:space="preserve"> </w:t>
      </w:r>
      <w:r>
        <w:rPr>
          <w:b/>
          <w:bCs/>
        </w:rPr>
        <w:t xml:space="preserve">Mirth Oracle AQ</w:t>
      </w:r>
      <w:r>
        <w:t xml:space="preserve">, o</w:t>
      </w:r>
      <w:r>
        <w:t xml:space="preserve"> </w:t>
      </w:r>
      <w:r>
        <w:rPr>
          <w:b/>
          <w:bCs/>
        </w:rPr>
        <w:t xml:space="preserve">PubSub</w:t>
      </w:r>
      <w:r>
        <w:t xml:space="preserve"> </w:t>
      </w:r>
      <w:r>
        <w:t xml:space="preserve">publica as mensagens em tecnologia</w:t>
      </w:r>
      <w:r>
        <w:t xml:space="preserve"> </w:t>
      </w:r>
      <w:r>
        <w:rPr>
          <w:b/>
          <w:bCs/>
        </w:rPr>
        <w:t xml:space="preserve">Oracle AQ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Mirth</w:t>
      </w:r>
      <w:r>
        <w:t xml:space="preserve"> </w:t>
      </w:r>
      <w:r>
        <w:t xml:space="preserve">utiliza o</w:t>
      </w:r>
      <w:r>
        <w:t xml:space="preserve"> </w:t>
      </w:r>
      <w:r>
        <w:rPr>
          <w:b/>
          <w:bCs/>
        </w:rPr>
        <w:t xml:space="preserve">Oracle AQ</w:t>
      </w:r>
      <w:r>
        <w:t xml:space="preserve"> </w:t>
      </w:r>
      <w:r>
        <w:t xml:space="preserve">como fonte de dados, ficando responsável pela sua expedição. Esta arquitetura procura juntar a robustez e redundância oferecidas pela</w:t>
      </w:r>
      <w:r>
        <w:t xml:space="preserve"> </w:t>
      </w:r>
      <w:r>
        <w:rPr>
          <w:b/>
          <w:bCs/>
        </w:rPr>
        <w:t xml:space="preserve">Oracle AQ</w:t>
      </w:r>
      <w:r>
        <w:t xml:space="preserve"> </w:t>
      </w:r>
      <w:r>
        <w:t xml:space="preserve">à flexibilidade e conveniência do</w:t>
      </w:r>
      <w:r>
        <w:t xml:space="preserve"> </w:t>
      </w:r>
      <w:r>
        <w:rPr>
          <w:b/>
          <w:bCs/>
        </w:rPr>
        <w:t xml:space="preserve">Mirth</w:t>
      </w:r>
      <w:r>
        <w:t xml:space="preserve">.</w:t>
      </w:r>
    </w:p>
    <w:bookmarkEnd w:id="28"/>
    <w:bookmarkEnd w:id="29"/>
    <w:bookmarkStart w:id="32" w:name="configuração"/>
    <w:p>
      <w:pPr>
        <w:pStyle w:val="Heading2"/>
      </w:pPr>
      <w:r>
        <w:t xml:space="preserve">Configuração</w:t>
      </w:r>
    </w:p>
    <w:bookmarkStart w:id="30" w:name="publicador"/>
    <w:p>
      <w:pPr>
        <w:pStyle w:val="Heading3"/>
      </w:pPr>
      <w:r>
        <w:t xml:space="preserve">Publicador</w:t>
      </w:r>
    </w:p>
    <w:p>
      <w:pPr>
        <w:pStyle w:val="FirstParagraph"/>
      </w:pPr>
      <w:r>
        <w:t xml:space="preserve">Para utilizar o</w:t>
      </w:r>
      <w:r>
        <w:t xml:space="preserve"> </w:t>
      </w:r>
      <w:r>
        <w:rPr>
          <w:b/>
          <w:bCs/>
        </w:rPr>
        <w:t xml:space="preserve">PubSub</w:t>
      </w:r>
      <w:r>
        <w:t xml:space="preserve"> </w:t>
      </w:r>
      <w:r>
        <w:t xml:space="preserve">na ótica de</w:t>
      </w:r>
      <w:r>
        <w:t xml:space="preserve"> </w:t>
      </w:r>
      <w:r>
        <w:rPr>
          <w:b/>
          <w:bCs/>
        </w:rPr>
        <w:t xml:space="preserve">Publicador</w:t>
      </w:r>
      <w:r>
        <w:t xml:space="preserve">, o responsável deverá garantir primeiro que:</w:t>
      </w:r>
      <w:r>
        <w:t xml:space="preserve"> </w:t>
      </w:r>
      <w:r>
        <w:t xml:space="preserve">- Tem pelo menos um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criado;</w:t>
      </w:r>
      <w:r>
        <w:t xml:space="preserve"> </w:t>
      </w:r>
      <w:r>
        <w:t xml:space="preserve">- Tem o</w:t>
      </w:r>
      <w:r>
        <w:t xml:space="preserve"> </w:t>
      </w:r>
      <w:r>
        <w:rPr>
          <w:b/>
          <w:bCs/>
        </w:rPr>
        <w:t xml:space="preserve">Publicador</w:t>
      </w:r>
      <w:r>
        <w:t xml:space="preserve"> </w:t>
      </w:r>
      <w:r>
        <w:t xml:space="preserve">criado;</w:t>
      </w:r>
      <w:r>
        <w:t xml:space="preserve"> </w:t>
      </w:r>
      <w:r>
        <w:t xml:space="preserve">- Tem o</w:t>
      </w:r>
      <w:r>
        <w:t xml:space="preserve"> </w:t>
      </w:r>
      <w:r>
        <w:rPr>
          <w:b/>
          <w:bCs/>
        </w:rPr>
        <w:t xml:space="preserve">Publicador</w:t>
      </w:r>
      <w:r>
        <w:t xml:space="preserve"> </w:t>
      </w:r>
      <w:r>
        <w:t xml:space="preserve">registado em pelo menos um</w:t>
      </w:r>
      <w:r>
        <w:t xml:space="preserve"> </w:t>
      </w:r>
      <w:r>
        <w:rPr>
          <w:b/>
          <w:bCs/>
        </w:rPr>
        <w:t xml:space="preserve">Tópico</w:t>
      </w:r>
      <w:r>
        <w:t xml:space="preserve">.</w:t>
      </w:r>
    </w:p>
    <w:p>
      <w:pPr>
        <w:pStyle w:val="BodyText"/>
      </w:pPr>
      <w:r>
        <w:t xml:space="preserve">A configuração destas entidades pode ser feita via</w:t>
      </w:r>
      <w:r>
        <w:t xml:space="preserve"> </w:t>
      </w:r>
      <w:r>
        <w:rPr>
          <w:b/>
          <w:bCs/>
        </w:rPr>
        <w:t xml:space="preserve">Backoffice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PubSub API</w:t>
      </w:r>
      <w:r>
        <w:t xml:space="preserve">.</w:t>
      </w:r>
    </w:p>
    <w:p>
      <w:pPr>
        <w:pStyle w:val="BodyText"/>
      </w:pPr>
      <w:r>
        <w:t xml:space="preserve">Satisfeitas as pré-condições, o utilizador ou aplicação</w:t>
      </w:r>
      <w:r>
        <w:t xml:space="preserve"> </w:t>
      </w:r>
      <w:r>
        <w:rPr>
          <w:b/>
          <w:bCs/>
        </w:rPr>
        <w:t xml:space="preserve">Publicadora</w:t>
      </w:r>
      <w:r>
        <w:t xml:space="preserve"> </w:t>
      </w:r>
      <w:r>
        <w:t xml:space="preserve">deverá publicar mensagens em</w:t>
      </w:r>
      <w:r>
        <w:t xml:space="preserve"> </w:t>
      </w:r>
      <w:r>
        <w:rPr>
          <w:b/>
          <w:bCs/>
        </w:rPr>
        <w:t xml:space="preserve">Tópicos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PubSub API</w:t>
      </w:r>
      <w:r>
        <w:t xml:space="preserve">.</w:t>
      </w:r>
    </w:p>
    <w:bookmarkEnd w:id="30"/>
    <w:bookmarkStart w:id="31" w:name="subscritor"/>
    <w:p>
      <w:pPr>
        <w:pStyle w:val="Heading3"/>
      </w:pPr>
      <w:r>
        <w:t xml:space="preserve">Subscritor</w:t>
      </w:r>
    </w:p>
    <w:p>
      <w:pPr>
        <w:pStyle w:val="FirstParagraph"/>
      </w:pPr>
      <w:r>
        <w:t xml:space="preserve">Para utilizar o</w:t>
      </w:r>
      <w:r>
        <w:t xml:space="preserve"> </w:t>
      </w:r>
      <w:r>
        <w:rPr>
          <w:b/>
          <w:bCs/>
        </w:rPr>
        <w:t xml:space="preserve">PubSub</w:t>
      </w:r>
      <w:r>
        <w:t xml:space="preserve"> </w:t>
      </w:r>
      <w:r>
        <w:t xml:space="preserve">na ótica de</w:t>
      </w:r>
      <w:r>
        <w:t xml:space="preserve"> </w:t>
      </w:r>
      <w:r>
        <w:rPr>
          <w:b/>
          <w:bCs/>
        </w:rPr>
        <w:t xml:space="preserve">Subscritor</w:t>
      </w:r>
      <w:r>
        <w:t xml:space="preserve">, o responsável deverá garantir primeiro que:</w:t>
      </w:r>
      <w:r>
        <w:t xml:space="preserve"> </w:t>
      </w:r>
      <w:r>
        <w:t xml:space="preserve">- Tem pelo menos um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criado;</w:t>
      </w:r>
      <w:r>
        <w:t xml:space="preserve"> </w:t>
      </w:r>
      <w:r>
        <w:t xml:space="preserve">- Tem o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criado;</w:t>
      </w:r>
      <w:r>
        <w:t xml:space="preserve"> </w:t>
      </w:r>
      <w:r>
        <w:t xml:space="preserve">- Tem registada pelo menos uma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num</w:t>
      </w:r>
      <w:r>
        <w:t xml:space="preserve"> </w:t>
      </w:r>
      <w:r>
        <w:rPr>
          <w:b/>
          <w:bCs/>
        </w:rPr>
        <w:t xml:space="preserve">Tópico</w:t>
      </w:r>
      <w:r>
        <w:t xml:space="preserve">.</w:t>
      </w:r>
    </w:p>
    <w:p>
      <w:pPr>
        <w:pStyle w:val="BodyText"/>
      </w:pPr>
      <w:r>
        <w:t xml:space="preserve">A configuração destas entidades pode ser feita via</w:t>
      </w:r>
      <w:r>
        <w:t xml:space="preserve"> </w:t>
      </w:r>
      <w:r>
        <w:rPr>
          <w:b/>
          <w:bCs/>
        </w:rPr>
        <w:t xml:space="preserve">Backoffice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PubSub API</w:t>
      </w:r>
      <w:r>
        <w:t xml:space="preserve">.</w:t>
      </w:r>
    </w:p>
    <w:p>
      <w:pPr>
        <w:pStyle w:val="BodyText"/>
      </w:pPr>
      <w:r>
        <w:t xml:space="preserve">Satisfeitas as pré-condições, o utilizador ou aplicação</w:t>
      </w:r>
      <w:r>
        <w:t xml:space="preserve"> </w:t>
      </w:r>
      <w:r>
        <w:rPr>
          <w:b/>
          <w:bCs/>
        </w:rPr>
        <w:t xml:space="preserve">Subscritora</w:t>
      </w:r>
      <w:r>
        <w:t xml:space="preserve"> </w:t>
      </w:r>
      <w:r>
        <w:t xml:space="preserve">poderá consumir mensagens de acordo com o tipo de cada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configurada, ou seja: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None</w:t>
      </w:r>
      <w:r>
        <w:t xml:space="preserve">: Via</w:t>
      </w:r>
      <w:r>
        <w:t xml:space="preserve"> </w:t>
      </w:r>
      <w:r>
        <w:rPr>
          <w:b/>
          <w:bCs/>
        </w:rPr>
        <w:t xml:space="preserve">PubSub API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Timer</w:t>
      </w:r>
      <w:r>
        <w:t xml:space="preserve">: Via</w:t>
      </w:r>
      <w:r>
        <w:t xml:space="preserve"> </w:t>
      </w:r>
      <w:r>
        <w:rPr>
          <w:b/>
          <w:bCs/>
        </w:rPr>
        <w:t xml:space="preserve">Timer</w:t>
      </w:r>
      <w:r>
        <w:t xml:space="preserve"> </w:t>
      </w:r>
      <w:r>
        <w:t xml:space="preserve">de OutSystems (por sua vez chamando direta ou indiretamente a</w:t>
      </w:r>
      <w:r>
        <w:t xml:space="preserve"> </w:t>
      </w:r>
      <w:r>
        <w:rPr>
          <w:b/>
          <w:bCs/>
        </w:rPr>
        <w:t xml:space="preserve">PubSub API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Dispatcher</w:t>
      </w:r>
      <w:r>
        <w:t xml:space="preserve">: Via exposição de uma implementação da API standard (serviço REST com método POST e estrutura convencionada).</w:t>
      </w:r>
    </w:p>
    <w:p>
      <w:pPr>
        <w:pStyle w:val="BodyText"/>
      </w:pPr>
      <w:r>
        <w:t xml:space="preserve">Sempre que consumir uma mensagem, o utilizador ou aplicação</w:t>
      </w:r>
      <w:r>
        <w:t xml:space="preserve"> </w:t>
      </w:r>
      <w:r>
        <w:rPr>
          <w:b/>
          <w:bCs/>
        </w:rPr>
        <w:t xml:space="preserve">Subscritora</w:t>
      </w:r>
      <w:r>
        <w:t xml:space="preserve"> </w:t>
      </w:r>
      <w:r>
        <w:t xml:space="preserve">deverá ainda indicar que foi processada via</w:t>
      </w:r>
      <w:r>
        <w:t xml:space="preserve"> </w:t>
      </w:r>
      <w:r>
        <w:rPr>
          <w:b/>
          <w:bCs/>
        </w:rPr>
        <w:t xml:space="preserve">PubSub API</w:t>
      </w:r>
      <w:r>
        <w:t xml:space="preserve">,</w:t>
      </w:r>
      <w:r>
        <w:t xml:space="preserve"> </w:t>
      </w:r>
      <w:r>
        <w:rPr>
          <w:b/>
          <w:bCs/>
        </w:rPr>
        <w:t xml:space="preserve">exceto</w:t>
      </w:r>
      <w:r>
        <w:t xml:space="preserve"> </w:t>
      </w:r>
      <w:r>
        <w:t xml:space="preserve">no caso de</w:t>
      </w:r>
      <w:r>
        <w:t xml:space="preserve"> </w:t>
      </w:r>
      <w:r>
        <w:rPr>
          <w:b/>
          <w:bCs/>
        </w:rPr>
        <w:t xml:space="preserve">Subscrições</w:t>
      </w:r>
      <w:r>
        <w:t xml:space="preserve"> </w:t>
      </w:r>
      <w:r>
        <w:t xml:space="preserve">do tipo</w:t>
      </w:r>
      <w:r>
        <w:t xml:space="preserve"> </w:t>
      </w:r>
      <w:r>
        <w:rPr>
          <w:b/>
          <w:bCs/>
          <w:i/>
          <w:iCs/>
        </w:rPr>
        <w:t xml:space="preserve">Dispatcher</w:t>
      </w:r>
      <w:r>
        <w:t xml:space="preserve">, onde a mensagem é considerada processada assim que for entregue com sucesso via API exposta.</w:t>
      </w:r>
    </w:p>
    <w:bookmarkEnd w:id="31"/>
    <w:bookmarkEnd w:id="32"/>
    <w:bookmarkStart w:id="35" w:name="utilização"/>
    <w:p>
      <w:pPr>
        <w:pStyle w:val="Heading2"/>
      </w:pPr>
      <w:r>
        <w:t xml:space="preserve">Utilização</w:t>
      </w:r>
    </w:p>
    <w:bookmarkStart w:id="33" w:name="exemplo-de-configuração"/>
    <w:p>
      <w:pPr>
        <w:pStyle w:val="Heading3"/>
      </w:pPr>
      <w:r>
        <w:t xml:space="preserve">Exemplo de configuração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Começamos por criar um</w:t>
      </w:r>
      <w:r>
        <w:t xml:space="preserve"> </w:t>
      </w:r>
      <w:r>
        <w:rPr>
          <w:b/>
          <w:bCs/>
        </w:rPr>
        <w:t xml:space="preserve">Tópico</w:t>
      </w:r>
      <w:r>
        <w:t xml:space="preserve">. O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deverá ser identificado por: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GUID</w:t>
      </w:r>
      <w:r>
        <w:t xml:space="preserve"> </w:t>
      </w:r>
      <w:r>
        <w:t xml:space="preserve">único;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Nome</w:t>
      </w:r>
      <w:r>
        <w:t xml:space="preserve"> </w:t>
      </w:r>
      <w:r>
        <w:t xml:space="preserve">único;</w:t>
      </w:r>
      <w:r>
        <w:t xml:space="preserve"> </w:t>
      </w:r>
      <w:r>
        <w:t xml:space="preserve">- uma</w:t>
      </w:r>
      <w:r>
        <w:t xml:space="preserve"> </w:t>
      </w:r>
      <w:r>
        <w:rPr>
          <w:b/>
          <w:bCs/>
        </w:rPr>
        <w:t xml:space="preserve">Descrição</w:t>
      </w:r>
      <w:r>
        <w:t xml:space="preserve"> </w:t>
      </w:r>
      <w:r>
        <w:t xml:space="preserve">que explique a sua finalidade;</w:t>
      </w:r>
      <w:r>
        <w:t xml:space="preserve"> </w:t>
      </w:r>
      <w:r>
        <w:t xml:space="preserve">- uma</w:t>
      </w:r>
      <w:r>
        <w:t xml:space="preserve"> </w:t>
      </w:r>
      <w:r>
        <w:rPr>
          <w:b/>
          <w:bCs/>
        </w:rPr>
        <w:t xml:space="preserve">Tecnologia</w:t>
      </w:r>
      <w:r>
        <w:t xml:space="preserve"> </w:t>
      </w:r>
      <w:r>
        <w:t xml:space="preserve">sob a qual será,</w:t>
      </w:r>
      <w:r>
        <w:t xml:space="preserve"> </w:t>
      </w:r>
      <w:r>
        <w:rPr>
          <w:i/>
          <w:iCs/>
        </w:rPr>
        <w:t xml:space="preserve">under-the-hood</w:t>
      </w:r>
      <w:r>
        <w:t xml:space="preserve">, implementado.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Seguimos a criar um</w:t>
      </w:r>
      <w:r>
        <w:t xml:space="preserve"> </w:t>
      </w:r>
      <w:r>
        <w:rPr>
          <w:b/>
          <w:bCs/>
        </w:rPr>
        <w:t xml:space="preserve">Publicador</w:t>
      </w:r>
      <w:r>
        <w:t xml:space="preserve">. O</w:t>
      </w:r>
      <w:r>
        <w:t xml:space="preserve"> </w:t>
      </w:r>
      <w:r>
        <w:rPr>
          <w:b/>
          <w:bCs/>
        </w:rPr>
        <w:t xml:space="preserve">Publicador</w:t>
      </w:r>
      <w:r>
        <w:t xml:space="preserve"> </w:t>
      </w:r>
      <w:r>
        <w:t xml:space="preserve">deverá ser identificado por: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GUID</w:t>
      </w:r>
      <w:r>
        <w:t xml:space="preserve"> </w:t>
      </w:r>
      <w:r>
        <w:t xml:space="preserve">único;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Nome</w:t>
      </w:r>
      <w:r>
        <w:t xml:space="preserve"> </w:t>
      </w:r>
      <w:r>
        <w:t xml:space="preserve">único;</w:t>
      </w:r>
      <w:r>
        <w:t xml:space="preserve"> </w:t>
      </w:r>
      <w:r>
        <w:t xml:space="preserve">- uma</w:t>
      </w:r>
      <w:r>
        <w:t xml:space="preserve"> </w:t>
      </w:r>
      <w:r>
        <w:rPr>
          <w:b/>
          <w:bCs/>
        </w:rPr>
        <w:t xml:space="preserve">Descrição</w:t>
      </w:r>
      <w:r>
        <w:t xml:space="preserve"> </w:t>
      </w:r>
      <w:r>
        <w:t xml:space="preserve">que explique a sua finalidade.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Seguimos a adicionar permissões para o</w:t>
      </w:r>
      <w:r>
        <w:t xml:space="preserve"> </w:t>
      </w:r>
      <w:r>
        <w:rPr>
          <w:b/>
          <w:bCs/>
        </w:rPr>
        <w:t xml:space="preserve">Publicador</w:t>
      </w:r>
      <w:r>
        <w:t xml:space="preserve"> </w:t>
      </w:r>
      <w:r>
        <w:t xml:space="preserve">poder publicar no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criado.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Seguimos a criar um</w:t>
      </w:r>
      <w:r>
        <w:t xml:space="preserve"> </w:t>
      </w:r>
      <w:r>
        <w:rPr>
          <w:b/>
          <w:bCs/>
        </w:rPr>
        <w:t xml:space="preserve">Subscritor</w:t>
      </w:r>
      <w:r>
        <w:t xml:space="preserve">. O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deverá ser identificado por: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GUID</w:t>
      </w:r>
      <w:r>
        <w:t xml:space="preserve"> </w:t>
      </w:r>
      <w:r>
        <w:t xml:space="preserve">único;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Nome</w:t>
      </w:r>
      <w:r>
        <w:t xml:space="preserve"> </w:t>
      </w:r>
      <w:r>
        <w:t xml:space="preserve">único;</w:t>
      </w:r>
      <w:r>
        <w:t xml:space="preserve"> </w:t>
      </w:r>
      <w:r>
        <w:t xml:space="preserve">- uma</w:t>
      </w:r>
      <w:r>
        <w:t xml:space="preserve"> </w:t>
      </w:r>
      <w:r>
        <w:rPr>
          <w:b/>
          <w:bCs/>
        </w:rPr>
        <w:t xml:space="preserve">Descrição</w:t>
      </w:r>
      <w:r>
        <w:t xml:space="preserve"> </w:t>
      </w:r>
      <w:r>
        <w:t xml:space="preserve">que explique a sua finalidade.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Seguimos a criar uma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para o</w:t>
      </w:r>
      <w:r>
        <w:t xml:space="preserve"> </w:t>
      </w:r>
      <w:r>
        <w:rPr>
          <w:b/>
          <w:bCs/>
        </w:rPr>
        <w:t xml:space="preserve">Subscritor</w:t>
      </w:r>
      <w:r>
        <w:t xml:space="preserve">. Uma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deverá ser identificada por: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único;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de subscrição, que influenciará a forma como as mensagens chegarão ao</w:t>
      </w:r>
      <w:r>
        <w:t xml:space="preserve"> </w:t>
      </w:r>
      <w:r>
        <w:rPr>
          <w:b/>
          <w:bCs/>
        </w:rPr>
        <w:t xml:space="preserve">Subscritor</w:t>
      </w:r>
      <w:r>
        <w:t xml:space="preserve">.</w:t>
      </w:r>
    </w:p>
    <w:p>
      <w:pPr>
        <w:pStyle w:val="BodyText"/>
      </w:pPr>
      <w:r>
        <w:t xml:space="preserve">Neste exemplo configuramos uma</w:t>
      </w:r>
      <w:r>
        <w:t xml:space="preserve"> </w:t>
      </w:r>
      <w:r>
        <w:rPr>
          <w:b/>
          <w:bCs/>
        </w:rPr>
        <w:t xml:space="preserve">Subscrição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rPr>
          <w:b/>
          <w:bCs/>
          <w:i/>
          <w:iCs/>
        </w:rPr>
        <w:t xml:space="preserve">None</w:t>
      </w:r>
      <w:r>
        <w:t xml:space="preserve">, que não tem parâmetros adicionais de configuração, como seria o caso dos</w:t>
      </w:r>
      <w:r>
        <w:t xml:space="preserve"> </w:t>
      </w:r>
      <w:r>
        <w:rPr>
          <w:b/>
          <w:bCs/>
        </w:rPr>
        <w:t xml:space="preserve">Tipos</w:t>
      </w:r>
      <w:r>
        <w:t xml:space="preserve"> </w:t>
      </w:r>
      <w:r>
        <w:rPr>
          <w:b/>
          <w:bCs/>
          <w:i/>
          <w:iCs/>
        </w:rPr>
        <w:t xml:space="preserve">Timer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  <w:i/>
          <w:iCs/>
        </w:rPr>
        <w:t xml:space="preserve">Dispatcher</w:t>
      </w:r>
      <w:r>
        <w:t xml:space="preserve">.</w:t>
      </w:r>
    </w:p>
    <w:bookmarkEnd w:id="33"/>
    <w:bookmarkStart w:id="34" w:name="exemplo-de-utilização"/>
    <w:p>
      <w:pPr>
        <w:pStyle w:val="Heading3"/>
      </w:pPr>
      <w:r>
        <w:t xml:space="preserve">Exemplo de utilização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Tendo um</w:t>
      </w:r>
      <w:r>
        <w:t xml:space="preserve"> </w:t>
      </w:r>
      <w:r>
        <w:rPr>
          <w:b/>
          <w:bCs/>
        </w:rPr>
        <w:t xml:space="preserve">Tópico</w:t>
      </w:r>
      <w:r>
        <w:t xml:space="preserve">, um</w:t>
      </w:r>
      <w:r>
        <w:t xml:space="preserve"> </w:t>
      </w:r>
      <w:r>
        <w:rPr>
          <w:b/>
          <w:bCs/>
        </w:rPr>
        <w:t xml:space="preserve">Publicador</w:t>
      </w:r>
      <w:r>
        <w:t xml:space="preserve"> </w:t>
      </w:r>
      <w:r>
        <w:t xml:space="preserve">associado ao</w:t>
      </w:r>
      <w:r>
        <w:t xml:space="preserve"> </w:t>
      </w:r>
      <w:r>
        <w:rPr>
          <w:b/>
          <w:bCs/>
        </w:rPr>
        <w:t xml:space="preserve">Tópico</w:t>
      </w:r>
      <w:r>
        <w:t xml:space="preserve">, e um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associado ao</w:t>
      </w:r>
      <w:r>
        <w:t xml:space="preserve"> </w:t>
      </w:r>
      <w:r>
        <w:rPr>
          <w:b/>
          <w:bCs/>
        </w:rPr>
        <w:t xml:space="preserve">Tópico</w:t>
      </w:r>
      <w:r>
        <w:t xml:space="preserve">, continuamos publicando uma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no Tópico. 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poderá opcionalmente ser composta por: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GUID</w:t>
      </w:r>
      <w:r>
        <w:t xml:space="preserve">;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Assunto</w:t>
      </w:r>
      <w:r>
        <w:t xml:space="preserve">;</w:t>
      </w:r>
      <w:r>
        <w:t xml:space="preserve"> </w:t>
      </w:r>
      <w:r>
        <w:t xml:space="preserve">- uma</w:t>
      </w:r>
      <w:r>
        <w:t xml:space="preserve"> </w:t>
      </w:r>
      <w:r>
        <w:rPr>
          <w:b/>
          <w:bCs/>
        </w:rPr>
        <w:t xml:space="preserve">Versão</w:t>
      </w:r>
      <w:r>
        <w:t xml:space="preserve">;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de conteúdo;</w:t>
      </w:r>
      <w:r>
        <w:t xml:space="preserve"> </w:t>
      </w:r>
      <w:r>
        <w:t xml:space="preserve">- o</w:t>
      </w:r>
      <w:r>
        <w:t xml:space="preserve"> </w:t>
      </w:r>
      <w:r>
        <w:rPr>
          <w:b/>
          <w:bCs/>
        </w:rPr>
        <w:t xml:space="preserve">Conteúdo</w:t>
      </w:r>
      <w:r>
        <w:t xml:space="preserve"> </w:t>
      </w:r>
      <w:r>
        <w:t xml:space="preserve">propriamente dito.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Tendo uma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publicada no</w:t>
      </w:r>
      <w:r>
        <w:t xml:space="preserve"> </w:t>
      </w:r>
      <w:r>
        <w:rPr>
          <w:b/>
          <w:bCs/>
        </w:rPr>
        <w:t xml:space="preserve">Tópico</w:t>
      </w:r>
      <w:r>
        <w:t xml:space="preserve">, o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pode pedir as mensagens que tem por ler e processar no</w:t>
      </w:r>
      <w:r>
        <w:t xml:space="preserve"> </w:t>
      </w:r>
      <w:r>
        <w:rPr>
          <w:b/>
          <w:bCs/>
        </w:rPr>
        <w:t xml:space="preserve">Tópico</w:t>
      </w:r>
      <w:r>
        <w:t xml:space="preserve">.</w:t>
      </w:r>
    </w:p>
    <w:p>
      <w:pPr>
        <w:pStyle w:val="BodyText"/>
      </w:pPr>
      <w:r>
        <w:t xml:space="preserve">A lista de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devolvidas será também acompanhada de um</w:t>
      </w:r>
      <w:r>
        <w:t xml:space="preserve"> </w:t>
      </w:r>
      <w:r>
        <w:rPr>
          <w:b/>
          <w:bCs/>
        </w:rPr>
        <w:t xml:space="preserve">GUID de transação</w:t>
      </w:r>
      <w:r>
        <w:t xml:space="preserve"> </w:t>
      </w:r>
      <w:r>
        <w:t xml:space="preserve">gerado automaticamente (útil quando se publicam mensagens em</w:t>
      </w:r>
      <w:r>
        <w:t xml:space="preserve"> </w:t>
      </w:r>
      <w:r>
        <w:rPr>
          <w:i/>
          <w:iCs/>
        </w:rPr>
        <w:t xml:space="preserve">batch</w:t>
      </w:r>
      <w:r>
        <w:t xml:space="preserve">) e de informação descritiva do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e do</w:t>
      </w:r>
      <w:r>
        <w:t xml:space="preserve"> </w:t>
      </w:r>
      <w:r>
        <w:rPr>
          <w:b/>
          <w:bCs/>
        </w:rPr>
        <w:t xml:space="preserve">Subscritor</w:t>
      </w:r>
      <w:r>
        <w:t xml:space="preserve">.</w:t>
      </w:r>
    </w:p>
    <w:p>
      <w:pPr>
        <w:pStyle w:val="BodyText"/>
      </w:pPr>
      <w:r>
        <w:t xml:space="preserve">Tendo em vista situações de publicação em</w:t>
      </w:r>
      <w:r>
        <w:t xml:space="preserve"> </w:t>
      </w:r>
      <w:r>
        <w:rPr>
          <w:i/>
          <w:iCs/>
        </w:rPr>
        <w:t xml:space="preserve">batch</w:t>
      </w:r>
      <w:r>
        <w:t xml:space="preserve">, cada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é também automaticamente associada a uma sequência numérica.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Tendo a</w:t>
      </w:r>
      <w:r>
        <w:t xml:space="preserve"> </w:t>
      </w:r>
      <w:r>
        <w:rPr>
          <w:b/>
          <w:bCs/>
        </w:rPr>
        <w:t xml:space="preserve">Mensagem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lida e processada, o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deve marcá-la como tal, de forma a evitar que seja novamente devolvida em pedidos subsequentes de novas</w:t>
      </w:r>
      <w:r>
        <w:t xml:space="preserve"> </w:t>
      </w:r>
      <w:r>
        <w:rPr>
          <w:b/>
          <w:bCs/>
        </w:rPr>
        <w:t xml:space="preserve">Mensagens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Tópico</w:t>
      </w:r>
      <w:r>
        <w:t xml:space="preserve">.</w:t>
      </w:r>
    </w:p>
    <w:p>
      <w:pPr>
        <w:pStyle w:val="BodyText"/>
      </w:pPr>
      <w:r>
        <w:t xml:space="preserve">No caso da subscrição ser</w:t>
      </w:r>
      <w:r>
        <w:t xml:space="preserve"> </w:t>
      </w:r>
      <w:r>
        <w:rPr>
          <w:b/>
          <w:bCs/>
        </w:rPr>
        <w:t xml:space="preserve">Dispatcher</w:t>
      </w:r>
      <w:r>
        <w:t xml:space="preserve">, A API exposta por parte do</w:t>
      </w:r>
      <w:r>
        <w:t xml:space="preserve"> </w:t>
      </w:r>
      <w:r>
        <w:rPr>
          <w:b/>
          <w:bCs/>
        </w:rPr>
        <w:t xml:space="preserve">Subscritor</w:t>
      </w:r>
      <w:r>
        <w:t xml:space="preserve"> </w:t>
      </w:r>
      <w:r>
        <w:t xml:space="preserve">tem de ser contratualizada com o Publicador com a seguinte API:</w:t>
      </w:r>
    </w:p>
    <w:p>
      <w:pPr>
        <w:pStyle w:val="BodyText"/>
      </w:pPr>
      <w:r>
        <w:t xml:space="preserve">https://devweb.hluz.ess.local/PubSub_API/rest/Template/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2.6 XF%2DPUBSUB Server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