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2.7 FRG TMPL Refactor</w:t>
      </w:r>
    </w:p>
    <w:bookmarkStart w:id="20" w:name="em-construção---não-considerar"/>
    <w:p>
      <w:pPr>
        <w:pStyle w:val="Heading3"/>
      </w:pPr>
      <w:r>
        <w:t xml:space="preserve">EM CONSTRUÇÃO - NÃO CONSIDERAR</w:t>
      </w:r>
    </w:p>
    <w:p>
      <w:pPr>
        <w:pStyle w:val="FirstParagraph"/>
      </w:pPr>
      <w:r>
        <w:rPr>
          <w:b/>
          <w:bCs/>
        </w:rPr>
        <w:t xml:space="preserve">Nota: Este componente não é para ser referenciado, a sua utilização deverá seguir os seguintes passos:</w:t>
      </w:r>
    </w:p>
    <w:bookmarkEnd w:id="20"/>
    <w:bookmarkStart w:id="30" w:name="X57d659ad1c69c487ab244c303357c154b1e209a"/>
    <w:p>
      <w:pPr>
        <w:pStyle w:val="Heading1"/>
      </w:pPr>
      <w:r>
        <w:t xml:space="preserve">Processo de Refactoring com Refactor OutSystems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Start w:id="25" w:name="ambiente-de-desenvolvimento-dev"/>
    <w:p>
      <w:pPr>
        <w:pStyle w:val="Heading2"/>
      </w:pPr>
      <w:r>
        <w:t xml:space="preserve">Ambiente de Desenvolvimento (DEV)</w:t>
      </w:r>
    </w:p>
    <w:bookmarkStart w:id="21" w:name="passo-1-novo-módulo"/>
    <w:p>
      <w:pPr>
        <w:pStyle w:val="Heading3"/>
      </w:pPr>
      <w:r>
        <w:t xml:space="preserve">Passo 1: Novo módulo</w:t>
      </w:r>
    </w:p>
    <w:p>
      <w:pPr>
        <w:pStyle w:val="FirstParagraph"/>
      </w:pPr>
      <w:r>
        <w:t xml:space="preserve">Cria-se um módulo novo com as tabelas, roles e site properties, que existiam no módulo a reestruturar, e publica-se para garantir que as novas entidades ficam disponíveis.</w:t>
      </w:r>
    </w:p>
    <w:bookmarkEnd w:id="21"/>
    <w:bookmarkStart w:id="22" w:name="X095be80f4bbf26746954cff7b4d8b8165045168"/>
    <w:p>
      <w:pPr>
        <w:pStyle w:val="Heading3"/>
      </w:pPr>
      <w:r>
        <w:t xml:space="preserve">Passo 2: Cria-se um clone do timer Refactor para mover as entidades, roles e site properties desejados</w:t>
      </w:r>
    </w:p>
    <w:p>
      <w:pPr>
        <w:pStyle w:val="FirstParagraph"/>
      </w:pPr>
      <w:r>
        <w:t xml:space="preserve">Configura-se o timer do Refactor para executar XXXXX das entidades que se pretende reorganizar.</w:t>
      </w:r>
      <w:r>
        <w:t xml:space="preserve"> </w:t>
      </w:r>
      <w:r>
        <w:t xml:space="preserve">image.png</w:t>
      </w:r>
    </w:p>
    <w:bookmarkEnd w:id="22"/>
    <w:bookmarkStart w:id="23" w:name="passo-3-executa-se-o-timer-do-refactor"/>
    <w:p>
      <w:pPr>
        <w:pStyle w:val="Heading3"/>
      </w:pPr>
      <w:r>
        <w:t xml:space="preserve">Passo 3: Executa-se o timer do Refactor</w:t>
      </w:r>
    </w:p>
    <w:p>
      <w:pPr>
        <w:pStyle w:val="FirstParagraph"/>
      </w:pPr>
      <w:r>
        <w:t xml:space="preserve">Executa-se o timer para atualizar os apontadores internos das aplicações consumidoras para as novas tabelas. Até que as aplicações consumidoras sejam republicadas, continuarão a apontar para as tabelas antigas.</w:t>
      </w:r>
    </w:p>
    <w:bookmarkEnd w:id="23"/>
    <w:bookmarkStart w:id="24" w:name="Xe6d213f2fd4c952cc63a7ef7b512c2a6f48112d"/>
    <w:p>
      <w:pPr>
        <w:pStyle w:val="Heading3"/>
      </w:pPr>
      <w:r>
        <w:t xml:space="preserve">Passo 4: Altera-se o código das aplicações consumidoras</w:t>
      </w:r>
    </w:p>
    <w:p>
      <w:pPr>
        <w:pStyle w:val="FirstParagraph"/>
      </w:pPr>
      <w:r>
        <w:t xml:space="preserve">Atualiza-se o código para que as aplicações passem a utilizar as entidades do novo módulo reorganizado.</w:t>
      </w:r>
    </w:p>
    <w:bookmarkEnd w:id="24"/>
    <w:bookmarkEnd w:id="25"/>
    <w:bookmarkStart w:id="27" w:name="X51e02c9241f523435fadcdb91dcabbd694f2395"/>
    <w:p>
      <w:pPr>
        <w:pStyle w:val="Heading2"/>
      </w:pPr>
      <w:r>
        <w:t xml:space="preserve">Subida para Qualidade / Produção (QUALIDADE / PROD)</w:t>
      </w:r>
    </w:p>
    <w:bookmarkStart w:id="26" w:name="solução-xxxxxxxxxxxxxxxxxxxxxxx"/>
    <w:p>
      <w:pPr>
        <w:pStyle w:val="Heading3"/>
      </w:pPr>
      <w:r>
        <w:t xml:space="preserve">Solução xxxxxxxxxxxxxxxxxxxxxxx</w:t>
      </w:r>
    </w:p>
    <w:p>
      <w:pPr>
        <w:pStyle w:val="Compact"/>
        <w:numPr>
          <w:ilvl w:val="0"/>
          <w:numId w:val="1001"/>
        </w:numPr>
      </w:pPr>
      <w:r>
        <w:t xml:space="preserve">Faz-se o deploy do novo módulo com as tabelas e do módulo Refactor no ambiente de destino.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Executa-se o timer do Refactor no novo ambiente (pode ser configurado para correr automaticamente em OnPublish).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Faz-se o deploy das novas versões das aplicações/módulos que passam a consumir as tabelas do novo módulo.</w:t>
      </w:r>
    </w:p>
    <w:bookmarkEnd w:id="26"/>
    <w:bookmarkEnd w:id="27"/>
    <w:bookmarkStart w:id="29" w:name="notas-técnicas-e-recomendações"/>
    <w:p>
      <w:pPr>
        <w:pStyle w:val="Heading2"/>
      </w:pPr>
      <w:r>
        <w:t xml:space="preserve">Notas técnicas e recomendações</w:t>
      </w:r>
    </w:p>
    <w:p>
      <w:pPr>
        <w:numPr>
          <w:ilvl w:val="0"/>
          <w:numId w:val="1002"/>
        </w:numPr>
      </w:pPr>
      <w:r>
        <w:t xml:space="preserve">xxxxxxxxxxxxxxxxxxxxxxxxxxxxxxxxxxxxx</w:t>
      </w:r>
    </w:p>
    <w:p>
      <w:pPr>
        <w:pStyle w:val="Heading2"/>
        <w:numPr>
          <w:ilvl w:val="0"/>
          <w:numId w:val="1002"/>
        </w:numPr>
      </w:pPr>
      <w:bookmarkStart w:id="28" w:name="X9327d1feb7ba1a5938e4db7bdfb09303076314f"/>
      <w:r>
        <w:t xml:space="preserve">Nota Importante sobre Roles e Permissões em Screens</w:t>
      </w:r>
      <w:bookmarkEnd w:id="28"/>
    </w:p>
    <w:p>
      <w:pPr>
        <w:pStyle w:val="FirstParagraph"/>
      </w:pPr>
      <w:r>
        <w:t xml:space="preserve">Embora as permissões associadas às roles sejam preservadas durante o processo de refactor e movimentação das mesmas, o acesso específico das roles às screens </w:t>
      </w:r>
      <w:r>
        <w:rPr>
          <w:b/>
          <w:bCs/>
        </w:rPr>
        <w:t xml:space="preserve">não é automaticamente mantido</w:t>
      </w:r>
      <w:r>
        <w:t xml:space="preserve">.</w:t>
      </w:r>
      <w:r>
        <w:t xml:space="preserve"> </w:t>
      </w:r>
      <w:r>
        <w:t xml:space="preserve">Isto significa que, após mover as roles para o novo módulo, é necessário atualizar manualmente as permissões em cada screen da aplicação para garantir que as roles continuam a ter acesso adequado.</w:t>
      </w:r>
      <w:r>
        <w:t xml:space="preserve"> </w:t>
      </w:r>
      <w:r>
        <w:t xml:space="preserve">Este detalhe é crucial, pois caso contrário, a aplicação pode apresentar problemas de acesso em várias screens, especialmente em projetos com muitas screens.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 FRG TMPL Refactor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